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340A3" w14:textId="4721112D" w:rsidR="00115035" w:rsidRPr="00477773" w:rsidRDefault="00DE146E" w:rsidP="00477773">
      <w:pPr>
        <w:jc w:val="center"/>
      </w:pPr>
      <w:bookmarkStart w:id="0" w:name="_GoBack"/>
      <w:bookmarkEnd w:id="0"/>
    </w:p>
    <w:p w14:paraId="143392E5" w14:textId="736F50E5" w:rsidR="00E93FC7" w:rsidRPr="00477773" w:rsidRDefault="00DE146E" w:rsidP="00477773">
      <w:pPr>
        <w:jc w:val="center"/>
        <w:rPr>
          <w:sz w:val="4"/>
          <w:szCs w:val="4"/>
        </w:rPr>
      </w:pPr>
    </w:p>
    <w:p w14:paraId="19972154" w14:textId="7F94CAC8" w:rsidR="00E93FC7" w:rsidRPr="00477773" w:rsidRDefault="005F7F2C" w:rsidP="00477773">
      <w:pPr>
        <w:pStyle w:val="DecHTitle"/>
      </w:pPr>
      <w:r w:rsidRPr="00477773">
        <w:t>FIRST SECTION</w:t>
      </w:r>
    </w:p>
    <w:p w14:paraId="55E64797" w14:textId="77777777" w:rsidR="00E93FC7" w:rsidRPr="00477773" w:rsidRDefault="006267D3" w:rsidP="00477773">
      <w:pPr>
        <w:pStyle w:val="DecHTitle"/>
      </w:pPr>
      <w:r w:rsidRPr="00477773">
        <w:t>DECISION</w:t>
      </w:r>
    </w:p>
    <w:p w14:paraId="7E554EE8" w14:textId="16FD30A7" w:rsidR="00EE3667" w:rsidRPr="00477773" w:rsidRDefault="005F7F2C" w:rsidP="00477773">
      <w:pPr>
        <w:pStyle w:val="DecHCase"/>
        <w:rPr>
          <w:i/>
        </w:rPr>
      </w:pPr>
      <w:r w:rsidRPr="00477773">
        <w:t>Application no.</w:t>
      </w:r>
      <w:r w:rsidR="006267D3" w:rsidRPr="00477773">
        <w:t xml:space="preserve"> </w:t>
      </w:r>
      <w:r w:rsidRPr="00477773">
        <w:t>18773/13</w:t>
      </w:r>
      <w:r w:rsidR="006267D3" w:rsidRPr="00477773">
        <w:br/>
      </w:r>
      <w:r w:rsidRPr="00477773">
        <w:t>Salvatore MATTEO</w:t>
      </w:r>
      <w:r w:rsidRPr="00477773">
        <w:br/>
      </w:r>
      <w:r w:rsidR="006267D3" w:rsidRPr="00477773">
        <w:t xml:space="preserve">against </w:t>
      </w:r>
      <w:r w:rsidRPr="00477773">
        <w:t>Italy</w:t>
      </w:r>
    </w:p>
    <w:p w14:paraId="29C11F6E" w14:textId="14F643EA" w:rsidR="00E93FC7" w:rsidRPr="00477773" w:rsidRDefault="00DE146E" w:rsidP="00477773">
      <w:pPr>
        <w:rPr>
          <w:sz w:val="2"/>
          <w:szCs w:val="2"/>
        </w:rPr>
      </w:pPr>
    </w:p>
    <w:p w14:paraId="70DF9041" w14:textId="24978641" w:rsidR="005F7F2C" w:rsidRPr="00477773" w:rsidRDefault="005F7F2C" w:rsidP="00477773">
      <w:pPr>
        <w:pStyle w:val="JuPara"/>
      </w:pPr>
      <w:r w:rsidRPr="00477773">
        <w:t xml:space="preserve">The European Court of Human Rights (First Section), sitting on </w:t>
      </w:r>
      <w:r w:rsidR="00AB1239" w:rsidRPr="00477773">
        <w:t xml:space="preserve">21 September 2021 </w:t>
      </w:r>
      <w:r w:rsidRPr="00477773">
        <w:t>as a Committee composed of:</w:t>
      </w:r>
    </w:p>
    <w:p w14:paraId="4BAE10E3" w14:textId="76B0A1F8" w:rsidR="005F7F2C" w:rsidRPr="00477773" w:rsidRDefault="00AB1239" w:rsidP="00477773">
      <w:pPr>
        <w:pStyle w:val="JuJudges"/>
        <w:rPr>
          <w:i/>
        </w:rPr>
      </w:pPr>
      <w:r w:rsidRPr="00477773">
        <w:tab/>
      </w:r>
      <w:proofErr w:type="spellStart"/>
      <w:r w:rsidRPr="00477773">
        <w:t>Péter</w:t>
      </w:r>
      <w:proofErr w:type="spellEnd"/>
      <w:r w:rsidRPr="00477773">
        <w:t xml:space="preserve"> </w:t>
      </w:r>
      <w:proofErr w:type="spellStart"/>
      <w:r w:rsidRPr="00477773">
        <w:t>Paczolay</w:t>
      </w:r>
      <w:proofErr w:type="spellEnd"/>
      <w:r w:rsidRPr="00477773">
        <w:t>,</w:t>
      </w:r>
      <w:r w:rsidRPr="00477773">
        <w:rPr>
          <w:i/>
        </w:rPr>
        <w:t xml:space="preserve"> President,</w:t>
      </w:r>
      <w:r w:rsidRPr="00477773">
        <w:rPr>
          <w:i/>
        </w:rPr>
        <w:br/>
      </w:r>
      <w:r w:rsidRPr="00477773">
        <w:tab/>
        <w:t xml:space="preserve">Gilberto </w:t>
      </w:r>
      <w:proofErr w:type="spellStart"/>
      <w:r w:rsidRPr="00477773">
        <w:t>Felici</w:t>
      </w:r>
      <w:proofErr w:type="spellEnd"/>
      <w:r w:rsidRPr="00477773">
        <w:t>,</w:t>
      </w:r>
      <w:r w:rsidRPr="00477773">
        <w:rPr>
          <w:i/>
        </w:rPr>
        <w:br/>
      </w:r>
      <w:r w:rsidRPr="00477773">
        <w:tab/>
        <w:t>Raffaele Sabato,</w:t>
      </w:r>
      <w:r w:rsidRPr="00477773">
        <w:rPr>
          <w:i/>
        </w:rPr>
        <w:t xml:space="preserve"> judges,</w:t>
      </w:r>
      <w:r w:rsidR="005F7F2C" w:rsidRPr="00477773">
        <w:br/>
        <w:t xml:space="preserve">and Liv Tigerstedt, </w:t>
      </w:r>
      <w:r w:rsidR="005F7F2C" w:rsidRPr="00477773">
        <w:rPr>
          <w:i/>
        </w:rPr>
        <w:t xml:space="preserve">Deputy </w:t>
      </w:r>
      <w:r w:rsidR="005F7F2C" w:rsidRPr="00477773">
        <w:rPr>
          <w:i/>
          <w:iCs/>
        </w:rPr>
        <w:t>Section Registrar</w:t>
      </w:r>
      <w:r w:rsidR="005F7F2C" w:rsidRPr="00477773">
        <w:rPr>
          <w:i/>
        </w:rPr>
        <w:t>,</w:t>
      </w:r>
    </w:p>
    <w:p w14:paraId="6FCAB74B" w14:textId="77777777" w:rsidR="005F7F2C" w:rsidRPr="00477773" w:rsidRDefault="005F7F2C" w:rsidP="00477773">
      <w:pPr>
        <w:pStyle w:val="JuPara"/>
      </w:pPr>
      <w:r w:rsidRPr="00477773">
        <w:t>Having regard to the above application lodged on 28 February 2013,</w:t>
      </w:r>
      <w:bookmarkStart w:id="1" w:name="_Hlk36483595"/>
    </w:p>
    <w:p w14:paraId="4EE6A87D" w14:textId="77777777" w:rsidR="005F7F2C" w:rsidRPr="00477773" w:rsidRDefault="005F7F2C" w:rsidP="00477773">
      <w:pPr>
        <w:pStyle w:val="JuPara"/>
      </w:pPr>
      <w:r w:rsidRPr="00477773">
        <w:t>Having regard to the decision to give notice to the</w:t>
      </w:r>
      <w:bookmarkEnd w:id="1"/>
      <w:r w:rsidRPr="00477773">
        <w:t xml:space="preserve"> respondent Government of the complaints concerning legislative interference with pending proceedings and to declare inadmissible the remainder of the application;</w:t>
      </w:r>
    </w:p>
    <w:p w14:paraId="01DAA126" w14:textId="77777777" w:rsidR="005F7F2C" w:rsidRPr="00477773" w:rsidRDefault="005F7F2C" w:rsidP="00477773">
      <w:pPr>
        <w:pStyle w:val="JuPara"/>
      </w:pPr>
      <w:r w:rsidRPr="00477773">
        <w:t>Having regard to the observations submitted by the respondent Government and the observations in reply submitted by the applicant,</w:t>
      </w:r>
    </w:p>
    <w:p w14:paraId="3B64EB33" w14:textId="77777777" w:rsidR="005F7F2C" w:rsidRPr="00477773" w:rsidRDefault="005F7F2C" w:rsidP="00477773">
      <w:pPr>
        <w:pStyle w:val="JuPara"/>
      </w:pPr>
      <w:r w:rsidRPr="00477773">
        <w:t>Having deliberated, decides as follows:</w:t>
      </w:r>
    </w:p>
    <w:p w14:paraId="299FC671" w14:textId="77777777" w:rsidR="005F7F2C" w:rsidRPr="00477773" w:rsidRDefault="005F7F2C" w:rsidP="00477773">
      <w:pPr>
        <w:pStyle w:val="JuHHead"/>
      </w:pPr>
      <w:r w:rsidRPr="00477773">
        <w:t>THE FACTS</w:t>
      </w:r>
    </w:p>
    <w:p w14:paraId="718CAF65" w14:textId="0F992C01" w:rsidR="005F7F2C" w:rsidRPr="00477773" w:rsidRDefault="005F7F2C" w:rsidP="00477773">
      <w:pPr>
        <w:pStyle w:val="JuPara"/>
      </w:pPr>
      <w:r w:rsidRPr="00477773">
        <w:fldChar w:fldCharType="begin"/>
      </w:r>
      <w:r w:rsidRPr="00477773">
        <w:instrText xml:space="preserve"> SEQ level0 \*arabic </w:instrText>
      </w:r>
      <w:r w:rsidRPr="00477773">
        <w:fldChar w:fldCharType="separate"/>
      </w:r>
      <w:r w:rsidR="00477773" w:rsidRPr="00477773">
        <w:rPr>
          <w:noProof/>
        </w:rPr>
        <w:t>1</w:t>
      </w:r>
      <w:r w:rsidRPr="00477773">
        <w:fldChar w:fldCharType="end"/>
      </w:r>
      <w:r w:rsidRPr="00477773">
        <w:t xml:space="preserve">.  The applicant, Mr Salvatore Matteo, is an Italian national, who was born in 1938 and lives in </w:t>
      </w:r>
      <w:proofErr w:type="spellStart"/>
      <w:r w:rsidRPr="00477773">
        <w:t>Castelpagano</w:t>
      </w:r>
      <w:proofErr w:type="spellEnd"/>
      <w:r w:rsidRPr="00477773">
        <w:t xml:space="preserve">. He was represented before the Court by Mr E. </w:t>
      </w:r>
      <w:proofErr w:type="spellStart"/>
      <w:r w:rsidRPr="00477773">
        <w:t>Lizza</w:t>
      </w:r>
      <w:proofErr w:type="spellEnd"/>
      <w:r w:rsidRPr="00477773">
        <w:t xml:space="preserve"> and Mr M. </w:t>
      </w:r>
      <w:proofErr w:type="spellStart"/>
      <w:r w:rsidRPr="00477773">
        <w:t>Curatolo</w:t>
      </w:r>
      <w:proofErr w:type="spellEnd"/>
      <w:r w:rsidRPr="00477773">
        <w:t>, lawyers practising in Rome.</w:t>
      </w:r>
    </w:p>
    <w:p w14:paraId="3D31A76F" w14:textId="2CEB5E60" w:rsidR="005F7F2C" w:rsidRPr="00477773" w:rsidRDefault="005F7F2C" w:rsidP="00477773">
      <w:pPr>
        <w:pStyle w:val="JuPara"/>
      </w:pPr>
      <w:r w:rsidRPr="00477773">
        <w:fldChar w:fldCharType="begin"/>
      </w:r>
      <w:r w:rsidRPr="00477773">
        <w:instrText xml:space="preserve"> SEQ level0 \*arabic </w:instrText>
      </w:r>
      <w:r w:rsidRPr="00477773">
        <w:fldChar w:fldCharType="separate"/>
      </w:r>
      <w:r w:rsidR="00477773" w:rsidRPr="00477773">
        <w:rPr>
          <w:noProof/>
        </w:rPr>
        <w:t>2</w:t>
      </w:r>
      <w:r w:rsidRPr="00477773">
        <w:fldChar w:fldCharType="end"/>
      </w:r>
      <w:r w:rsidRPr="00477773">
        <w:t xml:space="preserve">.  The Government were represented by their Agent, Mr L. </w:t>
      </w:r>
      <w:proofErr w:type="spellStart"/>
      <w:r w:rsidRPr="00477773">
        <w:t>D</w:t>
      </w:r>
      <w:r w:rsidR="00477773" w:rsidRPr="00477773">
        <w:t>’</w:t>
      </w:r>
      <w:r w:rsidRPr="00477773">
        <w:t>Ascia</w:t>
      </w:r>
      <w:proofErr w:type="spellEnd"/>
      <w:r w:rsidRPr="00477773">
        <w:t xml:space="preserve"> and their former co-Agent, Ms M.G. </w:t>
      </w:r>
      <w:proofErr w:type="spellStart"/>
      <w:r w:rsidRPr="00477773">
        <w:t>Civinini</w:t>
      </w:r>
      <w:proofErr w:type="spellEnd"/>
      <w:r w:rsidRPr="00477773">
        <w:t>.</w:t>
      </w:r>
    </w:p>
    <w:p w14:paraId="34F11CF9" w14:textId="77777777" w:rsidR="005F7F2C" w:rsidRPr="00477773" w:rsidRDefault="005F7F2C" w:rsidP="00477773">
      <w:pPr>
        <w:pStyle w:val="JuHA"/>
      </w:pPr>
      <w:r w:rsidRPr="00477773">
        <w:t>The circumstances of the case</w:t>
      </w:r>
    </w:p>
    <w:p w14:paraId="20F15985" w14:textId="094AE173" w:rsidR="005F7F2C" w:rsidRPr="00477773" w:rsidRDefault="00011390" w:rsidP="00477773">
      <w:pPr>
        <w:pStyle w:val="JuPara"/>
      </w:pPr>
      <w:r>
        <w:rPr>
          <w:noProof/>
        </w:rPr>
        <w:fldChar w:fldCharType="begin"/>
      </w:r>
      <w:r>
        <w:rPr>
          <w:noProof/>
        </w:rPr>
        <w:instrText xml:space="preserve"> SEQ level0 \*arabic \* MERGEFORMAT </w:instrText>
      </w:r>
      <w:r>
        <w:rPr>
          <w:noProof/>
        </w:rPr>
        <w:fldChar w:fldCharType="separate"/>
      </w:r>
      <w:r w:rsidR="00477773" w:rsidRPr="00477773">
        <w:rPr>
          <w:noProof/>
        </w:rPr>
        <w:t>3</w:t>
      </w:r>
      <w:r>
        <w:rPr>
          <w:noProof/>
        </w:rPr>
        <w:fldChar w:fldCharType="end"/>
      </w:r>
      <w:r w:rsidR="005F7F2C" w:rsidRPr="00477773">
        <w:t xml:space="preserve">.  The circumstances of the case are analogous to those described in </w:t>
      </w:r>
      <w:r w:rsidR="005F7F2C" w:rsidRPr="00477773">
        <w:rPr>
          <w:i/>
        </w:rPr>
        <w:t>Maggio and Others v. Italy</w:t>
      </w:r>
      <w:r w:rsidR="005F7F2C" w:rsidRPr="00477773">
        <w:t xml:space="preserve"> (nos. 46286/09 and 4 others, 31 May 2011)</w:t>
      </w:r>
      <w:r w:rsidR="005904B4" w:rsidRPr="00477773">
        <w:t>,</w:t>
      </w:r>
      <w:r w:rsidR="005F7F2C" w:rsidRPr="00477773">
        <w:t xml:space="preserve"> and </w:t>
      </w:r>
      <w:proofErr w:type="spellStart"/>
      <w:r w:rsidR="005F7F2C" w:rsidRPr="00477773">
        <w:rPr>
          <w:i/>
        </w:rPr>
        <w:t>Stefanetti</w:t>
      </w:r>
      <w:proofErr w:type="spellEnd"/>
      <w:r w:rsidR="005F7F2C" w:rsidRPr="00477773">
        <w:rPr>
          <w:i/>
        </w:rPr>
        <w:t xml:space="preserve"> and Others v. Italy</w:t>
      </w:r>
      <w:r w:rsidR="005F7F2C" w:rsidRPr="00477773">
        <w:t xml:space="preserve"> (merits) (nos. 21838/10 and 7 others, 15</w:t>
      </w:r>
      <w:r w:rsidR="00A67924" w:rsidRPr="00477773">
        <w:t> </w:t>
      </w:r>
      <w:r w:rsidR="005F7F2C" w:rsidRPr="00477773">
        <w:t>April 2014).</w:t>
      </w:r>
    </w:p>
    <w:p w14:paraId="66040DB8" w14:textId="01FC0AB5" w:rsidR="005F7F2C" w:rsidRPr="00477773" w:rsidRDefault="00011390" w:rsidP="00477773">
      <w:pPr>
        <w:pStyle w:val="JuPara"/>
      </w:pPr>
      <w:r>
        <w:rPr>
          <w:noProof/>
        </w:rPr>
        <w:lastRenderedPageBreak/>
        <w:fldChar w:fldCharType="begin"/>
      </w:r>
      <w:r>
        <w:rPr>
          <w:noProof/>
        </w:rPr>
        <w:instrText xml:space="preserve"> SEQ level0 \*arabic \* MERGEFORMAT </w:instrText>
      </w:r>
      <w:r>
        <w:rPr>
          <w:noProof/>
        </w:rPr>
        <w:fldChar w:fldCharType="separate"/>
      </w:r>
      <w:r w:rsidR="00477773" w:rsidRPr="00477773">
        <w:rPr>
          <w:noProof/>
        </w:rPr>
        <w:t>4</w:t>
      </w:r>
      <w:r>
        <w:rPr>
          <w:noProof/>
        </w:rPr>
        <w:fldChar w:fldCharType="end"/>
      </w:r>
      <w:r w:rsidR="005F7F2C" w:rsidRPr="00477773">
        <w:t xml:space="preserve">.  On 3 March 2005 the applicant, who had transferred to Italy the pension contributions he had paid in Switzerland, lodged an application with the </w:t>
      </w:r>
      <w:proofErr w:type="spellStart"/>
      <w:r w:rsidR="005F7F2C" w:rsidRPr="00477773">
        <w:t>Istituto</w:t>
      </w:r>
      <w:proofErr w:type="spellEnd"/>
      <w:r w:rsidR="005F7F2C" w:rsidRPr="00477773">
        <w:t xml:space="preserve"> Nazionale </w:t>
      </w:r>
      <w:proofErr w:type="spellStart"/>
      <w:r w:rsidR="005F7F2C" w:rsidRPr="00477773">
        <w:t>della</w:t>
      </w:r>
      <w:proofErr w:type="spellEnd"/>
      <w:r w:rsidR="005F7F2C" w:rsidRPr="00477773">
        <w:t xml:space="preserve"> </w:t>
      </w:r>
      <w:proofErr w:type="spellStart"/>
      <w:r w:rsidR="005F7F2C" w:rsidRPr="00477773">
        <w:t>Previdenza</w:t>
      </w:r>
      <w:proofErr w:type="spellEnd"/>
      <w:r w:rsidR="005F7F2C" w:rsidRPr="00477773">
        <w:t xml:space="preserve"> </w:t>
      </w:r>
      <w:proofErr w:type="spellStart"/>
      <w:r w:rsidR="005F7F2C" w:rsidRPr="00477773">
        <w:t>Sociale</w:t>
      </w:r>
      <w:proofErr w:type="spellEnd"/>
      <w:r w:rsidR="005F7F2C" w:rsidRPr="00477773">
        <w:t xml:space="preserve"> (“INPS”) for his pension to be recalculated, in accordance with the 1962 Italo-Swiss Social Security Convention (see paragraph </w:t>
      </w:r>
      <w:r w:rsidR="005F7F2C" w:rsidRPr="00477773">
        <w:fldChar w:fldCharType="begin"/>
      </w:r>
      <w:r w:rsidR="005F7F2C" w:rsidRPr="00477773">
        <w:instrText xml:space="preserve"> REF paragraph12 \h </w:instrText>
      </w:r>
      <w:r w:rsidR="005F7F2C" w:rsidRPr="00477773">
        <w:fldChar w:fldCharType="separate"/>
      </w:r>
      <w:r w:rsidR="00477773" w:rsidRPr="00477773">
        <w:rPr>
          <w:noProof/>
        </w:rPr>
        <w:t>12</w:t>
      </w:r>
      <w:r w:rsidR="005F7F2C" w:rsidRPr="00477773">
        <w:fldChar w:fldCharType="end"/>
      </w:r>
      <w:r w:rsidR="005F7F2C" w:rsidRPr="00477773">
        <w:t>), on the basis of the contributions he had paid in Switzerland in respect of work that he had performed there over several years. As a basis for the calculation of his pension (in respect of his average remuneration over the final five years of his working life), the INPS employed a theoretical level of remuneration (“</w:t>
      </w:r>
      <w:proofErr w:type="spellStart"/>
      <w:r w:rsidR="005F7F2C" w:rsidRPr="00477773">
        <w:rPr>
          <w:i/>
        </w:rPr>
        <w:t>retribuzione</w:t>
      </w:r>
      <w:proofErr w:type="spellEnd"/>
      <w:r w:rsidR="005F7F2C" w:rsidRPr="00477773">
        <w:rPr>
          <w:i/>
        </w:rPr>
        <w:t xml:space="preserve"> </w:t>
      </w:r>
      <w:proofErr w:type="spellStart"/>
      <w:r w:rsidR="005F7F2C" w:rsidRPr="00477773">
        <w:rPr>
          <w:i/>
        </w:rPr>
        <w:t>teorica</w:t>
      </w:r>
      <w:proofErr w:type="spellEnd"/>
      <w:r w:rsidR="005F7F2C" w:rsidRPr="00477773">
        <w:t>”) instead of the actual remuneration (“</w:t>
      </w:r>
      <w:proofErr w:type="spellStart"/>
      <w:r w:rsidR="005F7F2C" w:rsidRPr="00477773">
        <w:rPr>
          <w:i/>
        </w:rPr>
        <w:t>retribuzione</w:t>
      </w:r>
      <w:proofErr w:type="spellEnd"/>
      <w:r w:rsidR="005F7F2C" w:rsidRPr="00477773">
        <w:rPr>
          <w:i/>
        </w:rPr>
        <w:t xml:space="preserve"> </w:t>
      </w:r>
      <w:proofErr w:type="spellStart"/>
      <w:r w:rsidR="005F7F2C" w:rsidRPr="00477773">
        <w:rPr>
          <w:i/>
        </w:rPr>
        <w:t>effettiva</w:t>
      </w:r>
      <w:proofErr w:type="spellEnd"/>
      <w:r w:rsidR="005F7F2C" w:rsidRPr="00477773">
        <w:t>”). The former resulted in a readjustment on the basis of the existing ratio between the social security contributions paid in, respectively, Switzerland (8%) and in Italy (32.7%), which meant that the calculation had as its basis a notional salary, which, according to the applicant, led him to receive a much lower pension than the pension he should have received.</w:t>
      </w:r>
    </w:p>
    <w:bookmarkStart w:id="2" w:name="riduzionepensione"/>
    <w:p w14:paraId="448F33D8" w14:textId="613DB21D" w:rsidR="005F7F2C" w:rsidRPr="00477773" w:rsidRDefault="005F7F2C" w:rsidP="00477773">
      <w:pPr>
        <w:pStyle w:val="JuPara"/>
      </w:pPr>
      <w:r w:rsidRPr="00477773">
        <w:fldChar w:fldCharType="begin"/>
      </w:r>
      <w:r w:rsidRPr="00477773">
        <w:instrText xml:space="preserve"> SEQ level0 \*arabic \* MERGEFORMAT </w:instrText>
      </w:r>
      <w:r w:rsidRPr="00477773">
        <w:fldChar w:fldCharType="separate"/>
      </w:r>
      <w:r w:rsidR="00477773" w:rsidRPr="00477773">
        <w:rPr>
          <w:noProof/>
        </w:rPr>
        <w:t>5</w:t>
      </w:r>
      <w:r w:rsidRPr="00477773">
        <w:fldChar w:fldCharType="end"/>
      </w:r>
      <w:bookmarkEnd w:id="2"/>
      <w:r w:rsidRPr="00477773">
        <w:t>.  On 23 August 2005 the INPS rejected the applicant</w:t>
      </w:r>
      <w:r w:rsidR="00477773" w:rsidRPr="00477773">
        <w:t>’</w:t>
      </w:r>
      <w:r w:rsidRPr="00477773">
        <w:t>s request. Consequently, on 4 September 2006, the applicant lodged a claim with the Benevento District Court (the body responsible for labour and social security disputes), contending that the INPS</w:t>
      </w:r>
      <w:r w:rsidR="00477773" w:rsidRPr="00477773">
        <w:t>’</w:t>
      </w:r>
      <w:r w:rsidRPr="00477773">
        <w:t>s decision was contrary to the spirit of the Italo-Swiss Convention.</w:t>
      </w:r>
    </w:p>
    <w:p w14:paraId="6A06CAA0" w14:textId="3D6A635F" w:rsidR="005F7F2C" w:rsidRPr="00477773" w:rsidRDefault="00011390" w:rsidP="00477773">
      <w:pPr>
        <w:pStyle w:val="JuPara"/>
      </w:pPr>
      <w:r>
        <w:rPr>
          <w:noProof/>
        </w:rPr>
        <w:fldChar w:fldCharType="begin"/>
      </w:r>
      <w:r>
        <w:rPr>
          <w:noProof/>
        </w:rPr>
        <w:instrText xml:space="preserve"> SEQ level0 \*arabic \* MERGEFORMAT </w:instrText>
      </w:r>
      <w:r>
        <w:rPr>
          <w:noProof/>
        </w:rPr>
        <w:fldChar w:fldCharType="separate"/>
      </w:r>
      <w:r w:rsidR="00477773" w:rsidRPr="00477773">
        <w:rPr>
          <w:noProof/>
        </w:rPr>
        <w:t>6</w:t>
      </w:r>
      <w:r>
        <w:rPr>
          <w:noProof/>
        </w:rPr>
        <w:fldChar w:fldCharType="end"/>
      </w:r>
      <w:r w:rsidR="005F7F2C" w:rsidRPr="00477773">
        <w:t xml:space="preserve">.  When the relevant proceedings before the Benevento District Court were pending, Law no. 296 of 27 December 2006 (“Law no. 296/2006”; see paragraph </w:t>
      </w:r>
      <w:r w:rsidR="005F7F2C" w:rsidRPr="00477773">
        <w:fldChar w:fldCharType="begin"/>
      </w:r>
      <w:r w:rsidR="005F7F2C" w:rsidRPr="00477773">
        <w:instrText xml:space="preserve"> REF paragraph12 \h </w:instrText>
      </w:r>
      <w:r w:rsidR="005F7F2C" w:rsidRPr="00477773">
        <w:fldChar w:fldCharType="separate"/>
      </w:r>
      <w:r w:rsidR="00477773" w:rsidRPr="00477773">
        <w:rPr>
          <w:noProof/>
        </w:rPr>
        <w:t>12</w:t>
      </w:r>
      <w:r w:rsidR="005F7F2C" w:rsidRPr="00477773">
        <w:fldChar w:fldCharType="end"/>
      </w:r>
      <w:r w:rsidR="005F7F2C" w:rsidRPr="00477773">
        <w:t>) entered into force on 1 January 2007.</w:t>
      </w:r>
    </w:p>
    <w:p w14:paraId="4B98839C" w14:textId="32AC7485" w:rsidR="005F7F2C" w:rsidRPr="00477773" w:rsidRDefault="00011390" w:rsidP="00477773">
      <w:pPr>
        <w:pStyle w:val="JuPara"/>
      </w:pPr>
      <w:r>
        <w:rPr>
          <w:noProof/>
        </w:rPr>
        <w:fldChar w:fldCharType="begin"/>
      </w:r>
      <w:r>
        <w:rPr>
          <w:noProof/>
        </w:rPr>
        <w:instrText xml:space="preserve"> SEQ level0 \*arabic \* MERGEFORMAT </w:instrText>
      </w:r>
      <w:r>
        <w:rPr>
          <w:noProof/>
        </w:rPr>
        <w:fldChar w:fldCharType="separate"/>
      </w:r>
      <w:r w:rsidR="00477773" w:rsidRPr="00477773">
        <w:rPr>
          <w:noProof/>
        </w:rPr>
        <w:t>7</w:t>
      </w:r>
      <w:r>
        <w:rPr>
          <w:noProof/>
        </w:rPr>
        <w:fldChar w:fldCharType="end"/>
      </w:r>
      <w:r w:rsidR="005F7F2C" w:rsidRPr="00477773">
        <w:t>.  On 19 June 2007, in view of the entry into force of Law no.</w:t>
      </w:r>
      <w:r w:rsidR="005904B4" w:rsidRPr="00477773">
        <w:t> </w:t>
      </w:r>
      <w:r w:rsidR="005F7F2C" w:rsidRPr="00477773">
        <w:t>296/2006, the Benevento District Court dismissed the applicant</w:t>
      </w:r>
      <w:r w:rsidR="00477773" w:rsidRPr="00477773">
        <w:t>’</w:t>
      </w:r>
      <w:r w:rsidR="005F7F2C" w:rsidRPr="00477773">
        <w:t>s claim.</w:t>
      </w:r>
    </w:p>
    <w:p w14:paraId="34FDE658" w14:textId="0D64E32D" w:rsidR="005F7F2C" w:rsidRPr="00477773" w:rsidRDefault="00011390" w:rsidP="00477773">
      <w:pPr>
        <w:pStyle w:val="JuPara"/>
      </w:pPr>
      <w:r>
        <w:rPr>
          <w:noProof/>
        </w:rPr>
        <w:fldChar w:fldCharType="begin"/>
      </w:r>
      <w:r>
        <w:rPr>
          <w:noProof/>
        </w:rPr>
        <w:instrText xml:space="preserve"> SEQ level0 \*arabic \* MERGEFORMAT </w:instrText>
      </w:r>
      <w:r>
        <w:rPr>
          <w:noProof/>
        </w:rPr>
        <w:fldChar w:fldCharType="separate"/>
      </w:r>
      <w:r w:rsidR="00477773" w:rsidRPr="00477773">
        <w:rPr>
          <w:noProof/>
        </w:rPr>
        <w:t>8</w:t>
      </w:r>
      <w:r>
        <w:rPr>
          <w:noProof/>
        </w:rPr>
        <w:fldChar w:fldCharType="end"/>
      </w:r>
      <w:r w:rsidR="005F7F2C" w:rsidRPr="00477773">
        <w:t>.  The applicant appealed against the first instance judgment to the Naples Court of Appeal.</w:t>
      </w:r>
    </w:p>
    <w:p w14:paraId="69AB3BC2" w14:textId="2F4397A6" w:rsidR="005F7F2C" w:rsidRPr="00477773" w:rsidRDefault="00011390" w:rsidP="00477773">
      <w:pPr>
        <w:pStyle w:val="JuPara"/>
      </w:pPr>
      <w:r>
        <w:rPr>
          <w:noProof/>
        </w:rPr>
        <w:fldChar w:fldCharType="begin"/>
      </w:r>
      <w:r>
        <w:rPr>
          <w:noProof/>
        </w:rPr>
        <w:instrText xml:space="preserve"> SEQ level0 \*arabic \* MERGEFORMAT </w:instrText>
      </w:r>
      <w:r>
        <w:rPr>
          <w:noProof/>
        </w:rPr>
        <w:fldChar w:fldCharType="separate"/>
      </w:r>
      <w:r w:rsidR="00477773" w:rsidRPr="00477773">
        <w:rPr>
          <w:noProof/>
        </w:rPr>
        <w:t>9</w:t>
      </w:r>
      <w:r>
        <w:rPr>
          <w:noProof/>
        </w:rPr>
        <w:fldChar w:fldCharType="end"/>
      </w:r>
      <w:r w:rsidR="005F7F2C" w:rsidRPr="00477773">
        <w:t>.  On 23 May 2008, judgment no. 172 of the Constitutional Court declared ill-founded a question of constitutionality of Law no.</w:t>
      </w:r>
      <w:r w:rsidR="00C51546" w:rsidRPr="00477773">
        <w:t> </w:t>
      </w:r>
      <w:r w:rsidR="005F7F2C" w:rsidRPr="00477773">
        <w:t>296/2006 lodged in a different set of proceedings by other applicants.</w:t>
      </w:r>
    </w:p>
    <w:bookmarkStart w:id="3" w:name="paragraph11"/>
    <w:p w14:paraId="053110D5" w14:textId="0C2C83A7" w:rsidR="005F7F2C" w:rsidRPr="00477773" w:rsidRDefault="005F7F2C" w:rsidP="00477773">
      <w:pPr>
        <w:pStyle w:val="JuPara"/>
      </w:pPr>
      <w:r w:rsidRPr="00477773">
        <w:fldChar w:fldCharType="begin"/>
      </w:r>
      <w:r w:rsidRPr="00477773">
        <w:instrText xml:space="preserve"> SEQ level0 \*arabic \* MERGEFORMAT </w:instrText>
      </w:r>
      <w:r w:rsidRPr="00477773">
        <w:fldChar w:fldCharType="separate"/>
      </w:r>
      <w:r w:rsidR="00477773" w:rsidRPr="00477773">
        <w:rPr>
          <w:noProof/>
        </w:rPr>
        <w:t>10</w:t>
      </w:r>
      <w:r w:rsidRPr="00477773">
        <w:fldChar w:fldCharType="end"/>
      </w:r>
      <w:bookmarkEnd w:id="3"/>
      <w:r w:rsidRPr="00477773">
        <w:t>.  The applicant, considering that after the judgment of the Constitutional Court domestic courts were bound to dismiss claims such as his, deemed that his participation to proceedings was useless and could only put him at risk of paying costs and expenses. Therefore, he did not show up at two consecutive hearings in front of the Naples Court of Appeal.</w:t>
      </w:r>
    </w:p>
    <w:p w14:paraId="12A8C388" w14:textId="0569C6E4" w:rsidR="005F7F2C" w:rsidRPr="00477773" w:rsidRDefault="00011390" w:rsidP="00477773">
      <w:pPr>
        <w:pStyle w:val="JuPara"/>
      </w:pPr>
      <w:r>
        <w:rPr>
          <w:noProof/>
        </w:rPr>
        <w:fldChar w:fldCharType="begin"/>
      </w:r>
      <w:r>
        <w:rPr>
          <w:noProof/>
        </w:rPr>
        <w:instrText xml:space="preserve"> SEQ level0 \*arabic \* MERGEFORMAT </w:instrText>
      </w:r>
      <w:r>
        <w:rPr>
          <w:noProof/>
        </w:rPr>
        <w:fldChar w:fldCharType="separate"/>
      </w:r>
      <w:r w:rsidR="00477773" w:rsidRPr="00477773">
        <w:rPr>
          <w:noProof/>
        </w:rPr>
        <w:t>11</w:t>
      </w:r>
      <w:r>
        <w:rPr>
          <w:noProof/>
        </w:rPr>
        <w:fldChar w:fldCharType="end"/>
      </w:r>
      <w:r w:rsidR="005F7F2C" w:rsidRPr="00477773">
        <w:t xml:space="preserve">.  Consequently, the Naples Court of Appeal declared inadmissible the appeal on 16 July 2011, pursuant to Article 348 of the Code of Civil Procedure (“CCP”) (see paragraph </w:t>
      </w:r>
      <w:r w:rsidR="005F7F2C" w:rsidRPr="00477773">
        <w:fldChar w:fldCharType="begin"/>
      </w:r>
      <w:r w:rsidR="005F7F2C" w:rsidRPr="00477773">
        <w:instrText xml:space="preserve"> REF paragraph13 \h </w:instrText>
      </w:r>
      <w:r w:rsidR="005F7F2C" w:rsidRPr="00477773">
        <w:fldChar w:fldCharType="separate"/>
      </w:r>
      <w:r w:rsidR="00477773" w:rsidRPr="00477773">
        <w:rPr>
          <w:noProof/>
        </w:rPr>
        <w:t>13</w:t>
      </w:r>
      <w:r w:rsidR="005F7F2C" w:rsidRPr="00477773">
        <w:fldChar w:fldCharType="end"/>
      </w:r>
      <w:r w:rsidR="005F7F2C" w:rsidRPr="00477773">
        <w:t>).</w:t>
      </w:r>
    </w:p>
    <w:p w14:paraId="6F61F060" w14:textId="77777777" w:rsidR="005F7F2C" w:rsidRPr="00477773" w:rsidRDefault="005F7F2C" w:rsidP="00477773">
      <w:pPr>
        <w:pStyle w:val="JuHA"/>
      </w:pPr>
      <w:r w:rsidRPr="00477773">
        <w:t>Relevant domestic law and practice</w:t>
      </w:r>
    </w:p>
    <w:bookmarkStart w:id="4" w:name="paragraph12"/>
    <w:p w14:paraId="1B4F8704" w14:textId="6D1CAE5B" w:rsidR="005F7F2C" w:rsidRPr="00477773" w:rsidRDefault="005F7F2C" w:rsidP="00477773">
      <w:pPr>
        <w:pStyle w:val="JuPara"/>
      </w:pPr>
      <w:r w:rsidRPr="00477773">
        <w:fldChar w:fldCharType="begin"/>
      </w:r>
      <w:r w:rsidRPr="00477773">
        <w:instrText xml:space="preserve"> SEQ level0 \*arabic </w:instrText>
      </w:r>
      <w:r w:rsidRPr="00477773">
        <w:fldChar w:fldCharType="separate"/>
      </w:r>
      <w:r w:rsidR="00477773" w:rsidRPr="00477773">
        <w:rPr>
          <w:noProof/>
        </w:rPr>
        <w:t>12</w:t>
      </w:r>
      <w:r w:rsidRPr="00477773">
        <w:fldChar w:fldCharType="end"/>
      </w:r>
      <w:bookmarkEnd w:id="4"/>
      <w:r w:rsidRPr="00477773">
        <w:t xml:space="preserve">.  The relevant domestic law and practice concerning the case are to be found in </w:t>
      </w:r>
      <w:r w:rsidRPr="00477773">
        <w:rPr>
          <w:i/>
          <w:iCs/>
        </w:rPr>
        <w:t>Maggio and Others</w:t>
      </w:r>
      <w:r w:rsidRPr="00477773">
        <w:t xml:space="preserve"> (cited above, §§ 27-35)</w:t>
      </w:r>
      <w:r w:rsidR="005904B4" w:rsidRPr="00477773">
        <w:t>,</w:t>
      </w:r>
      <w:r w:rsidRPr="00477773">
        <w:t xml:space="preserve"> and in </w:t>
      </w:r>
      <w:proofErr w:type="spellStart"/>
      <w:r w:rsidRPr="00477773">
        <w:rPr>
          <w:i/>
          <w:iCs/>
        </w:rPr>
        <w:t>Stefanetti</w:t>
      </w:r>
      <w:proofErr w:type="spellEnd"/>
      <w:r w:rsidRPr="00477773">
        <w:rPr>
          <w:i/>
          <w:iCs/>
        </w:rPr>
        <w:t xml:space="preserve"> and Others </w:t>
      </w:r>
      <w:r w:rsidRPr="00477773">
        <w:t>(merits) (cited above, §§ 13-27).</w:t>
      </w:r>
    </w:p>
    <w:bookmarkStart w:id="5" w:name="paragraph13"/>
    <w:p w14:paraId="54FB6CE8" w14:textId="239A0C4D" w:rsidR="005F7F2C" w:rsidRPr="00477773" w:rsidRDefault="005F7F2C" w:rsidP="00477773">
      <w:pPr>
        <w:pStyle w:val="JuPara"/>
      </w:pPr>
      <w:r w:rsidRPr="00477773">
        <w:lastRenderedPageBreak/>
        <w:fldChar w:fldCharType="begin"/>
      </w:r>
      <w:r w:rsidRPr="00477773">
        <w:instrText xml:space="preserve"> SEQ level0 \*arabic </w:instrText>
      </w:r>
      <w:r w:rsidRPr="00477773">
        <w:fldChar w:fldCharType="separate"/>
      </w:r>
      <w:r w:rsidR="00477773" w:rsidRPr="00477773">
        <w:rPr>
          <w:noProof/>
        </w:rPr>
        <w:t>13</w:t>
      </w:r>
      <w:r w:rsidRPr="00477773">
        <w:fldChar w:fldCharType="end"/>
      </w:r>
      <w:bookmarkEnd w:id="5"/>
      <w:r w:rsidRPr="00477773">
        <w:t>.  Article 348 of the CCP, in the relevant parts thereof, reads:</w:t>
      </w:r>
    </w:p>
    <w:p w14:paraId="4C8DF2EC" w14:textId="7AB3AC54" w:rsidR="005F7F2C" w:rsidRPr="00477773" w:rsidRDefault="005F7F2C" w:rsidP="00477773">
      <w:pPr>
        <w:pStyle w:val="JuHArticle"/>
        <w:rPr>
          <w:lang w:val="it-IT"/>
        </w:rPr>
      </w:pPr>
      <w:r w:rsidRPr="00477773">
        <w:rPr>
          <w:lang w:val="it-IT"/>
        </w:rPr>
        <w:t xml:space="preserve">“Article 348 – </w:t>
      </w:r>
      <w:proofErr w:type="spellStart"/>
      <w:r w:rsidRPr="00477773">
        <w:rPr>
          <w:lang w:val="it-IT"/>
        </w:rPr>
        <w:t>Discontinuance</w:t>
      </w:r>
      <w:proofErr w:type="spellEnd"/>
      <w:r w:rsidRPr="00477773">
        <w:rPr>
          <w:lang w:val="it-IT"/>
        </w:rPr>
        <w:t xml:space="preserve"> of the appeal (</w:t>
      </w:r>
      <w:r w:rsidRPr="00477773">
        <w:rPr>
          <w:i/>
          <w:iCs/>
          <w:lang w:val="it-IT"/>
        </w:rPr>
        <w:t>Improcedibilità dell</w:t>
      </w:r>
      <w:r w:rsidR="00477773" w:rsidRPr="00477773">
        <w:rPr>
          <w:i/>
          <w:iCs/>
          <w:lang w:val="it-IT"/>
        </w:rPr>
        <w:t>’</w:t>
      </w:r>
      <w:r w:rsidRPr="00477773">
        <w:rPr>
          <w:i/>
          <w:iCs/>
          <w:lang w:val="it-IT"/>
        </w:rPr>
        <w:t>appello</w:t>
      </w:r>
      <w:r w:rsidRPr="00477773">
        <w:rPr>
          <w:lang w:val="it-IT"/>
        </w:rPr>
        <w:t>)</w:t>
      </w:r>
    </w:p>
    <w:p w14:paraId="7CAD1E20" w14:textId="16BDD704" w:rsidR="005F7F2C" w:rsidRPr="00477773" w:rsidRDefault="005F7F2C" w:rsidP="00477773">
      <w:pPr>
        <w:pStyle w:val="JuQuot"/>
      </w:pPr>
      <w:r w:rsidRPr="00477773">
        <w:t>...</w:t>
      </w:r>
    </w:p>
    <w:p w14:paraId="18699C07" w14:textId="5823A3F2" w:rsidR="005F7F2C" w:rsidRPr="00477773" w:rsidRDefault="005F7F2C" w:rsidP="00477773">
      <w:pPr>
        <w:pStyle w:val="JuQuot"/>
      </w:pPr>
      <w:r w:rsidRPr="00477773">
        <w:t>If the appellant does not appear at the first hearing, despite having filed an entry of appearance, the panel postpones the case to a second hearing with an unchallengeable order, of which the registry informs the appellant. If the appellant does not appear at the new hearing, the appeal is declared inadmissible (</w:t>
      </w:r>
      <w:proofErr w:type="spellStart"/>
      <w:r w:rsidRPr="00477773">
        <w:rPr>
          <w:i/>
          <w:iCs/>
        </w:rPr>
        <w:t>improcedibile</w:t>
      </w:r>
      <w:proofErr w:type="spellEnd"/>
      <w:r w:rsidRPr="00477773">
        <w:t>) ...”</w:t>
      </w:r>
    </w:p>
    <w:p w14:paraId="26936953" w14:textId="77777777" w:rsidR="005F7F2C" w:rsidRPr="00477773" w:rsidRDefault="005F7F2C" w:rsidP="00477773">
      <w:pPr>
        <w:pStyle w:val="JuHHead"/>
      </w:pPr>
      <w:r w:rsidRPr="00477773">
        <w:t>COMPLAINTS</w:t>
      </w:r>
    </w:p>
    <w:p w14:paraId="003C5226" w14:textId="38EB171B" w:rsidR="005F7F2C" w:rsidRPr="00477773" w:rsidRDefault="005F7F2C" w:rsidP="00477773">
      <w:pPr>
        <w:pStyle w:val="JuPara"/>
      </w:pPr>
      <w:r w:rsidRPr="00477773">
        <w:fldChar w:fldCharType="begin"/>
      </w:r>
      <w:r w:rsidRPr="00477773">
        <w:instrText xml:space="preserve"> SEQ level0 \*arabic </w:instrText>
      </w:r>
      <w:r w:rsidRPr="00477773">
        <w:fldChar w:fldCharType="separate"/>
      </w:r>
      <w:r w:rsidR="00477773" w:rsidRPr="00477773">
        <w:rPr>
          <w:noProof/>
        </w:rPr>
        <w:t>14</w:t>
      </w:r>
      <w:r w:rsidRPr="00477773">
        <w:fldChar w:fldCharType="end"/>
      </w:r>
      <w:r w:rsidRPr="00477773">
        <w:t>.  The applicant complained under Article 6 § 1 of the Convention and Article</w:t>
      </w:r>
      <w:r w:rsidR="00C51546" w:rsidRPr="00477773">
        <w:t> </w:t>
      </w:r>
      <w:r w:rsidRPr="00477773">
        <w:t>1 of Protocol no. 1 that the legislative intervention – namely the enactment of Law no. 296/2006, which changed well-established case-law while proceedings were pending – had denied him his right to a fair trial and had unlawfully and disproportionately interfered with his property rights.</w:t>
      </w:r>
    </w:p>
    <w:p w14:paraId="252829BD" w14:textId="77777777" w:rsidR="005F7F2C" w:rsidRPr="00477773" w:rsidRDefault="005F7F2C" w:rsidP="00477773">
      <w:pPr>
        <w:pStyle w:val="JuHHead"/>
      </w:pPr>
      <w:r w:rsidRPr="00477773">
        <w:t>THE LAW</w:t>
      </w:r>
    </w:p>
    <w:p w14:paraId="10D5F867" w14:textId="77777777" w:rsidR="005F7F2C" w:rsidRPr="00477773" w:rsidRDefault="005F7F2C" w:rsidP="00477773">
      <w:pPr>
        <w:pStyle w:val="JuHA"/>
      </w:pPr>
      <w:r w:rsidRPr="00477773">
        <w:t>Complaint under Article 6 of the Convention</w:t>
      </w:r>
    </w:p>
    <w:p w14:paraId="7BA746E1" w14:textId="4310FA2E" w:rsidR="005F7F2C" w:rsidRPr="00477773" w:rsidRDefault="005F7F2C" w:rsidP="00477773">
      <w:pPr>
        <w:pStyle w:val="JuPara"/>
      </w:pPr>
      <w:r w:rsidRPr="00477773">
        <w:fldChar w:fldCharType="begin"/>
      </w:r>
      <w:r w:rsidRPr="00477773">
        <w:instrText xml:space="preserve"> SEQ level0 \*arabic </w:instrText>
      </w:r>
      <w:r w:rsidRPr="00477773">
        <w:fldChar w:fldCharType="separate"/>
      </w:r>
      <w:r w:rsidR="00477773" w:rsidRPr="00477773">
        <w:rPr>
          <w:noProof/>
        </w:rPr>
        <w:t>15</w:t>
      </w:r>
      <w:r w:rsidRPr="00477773">
        <w:fldChar w:fldCharType="end"/>
      </w:r>
      <w:r w:rsidRPr="00477773">
        <w:t>.  </w:t>
      </w:r>
      <w:bookmarkStart w:id="6" w:name="_Hlk34206479"/>
      <w:r w:rsidRPr="00477773">
        <w:t>The applicant complained that the enactment of Law no.</w:t>
      </w:r>
      <w:r w:rsidR="005904B4" w:rsidRPr="00477773">
        <w:t> </w:t>
      </w:r>
      <w:r w:rsidRPr="00477773">
        <w:t>296/2006 had denied him his right to a fair hearing under Article 6 § 1 of the Convention, which reads as follows:</w:t>
      </w:r>
    </w:p>
    <w:p w14:paraId="5B57202B" w14:textId="77777777" w:rsidR="005F7F2C" w:rsidRPr="00477773" w:rsidRDefault="005F7F2C" w:rsidP="00477773">
      <w:pPr>
        <w:pStyle w:val="JuQuot"/>
      </w:pPr>
      <w:r w:rsidRPr="00477773">
        <w:t>“In the determination of his civil rights and obligations ... everyone is entitled to a fair ... hearing ... by [a] ... tribunal ...”</w:t>
      </w:r>
    </w:p>
    <w:p w14:paraId="387A0A55" w14:textId="77777777" w:rsidR="005F7F2C" w:rsidRPr="00477773" w:rsidRDefault="005F7F2C" w:rsidP="00477773">
      <w:pPr>
        <w:pStyle w:val="JuH1"/>
      </w:pPr>
      <w:r w:rsidRPr="00477773">
        <w:t>Non-exhaustion of domestic remedies</w:t>
      </w:r>
    </w:p>
    <w:p w14:paraId="3CEB2A42" w14:textId="1152C82F" w:rsidR="005F7F2C" w:rsidRPr="00477773" w:rsidRDefault="005F7F2C" w:rsidP="00477773">
      <w:pPr>
        <w:pStyle w:val="JuPara"/>
      </w:pPr>
      <w:r w:rsidRPr="00477773">
        <w:fldChar w:fldCharType="begin"/>
      </w:r>
      <w:r w:rsidRPr="00477773">
        <w:instrText xml:space="preserve"> SEQ level0 \*arabic </w:instrText>
      </w:r>
      <w:r w:rsidRPr="00477773">
        <w:fldChar w:fldCharType="separate"/>
      </w:r>
      <w:r w:rsidR="00477773" w:rsidRPr="00477773">
        <w:rPr>
          <w:noProof/>
        </w:rPr>
        <w:t>16</w:t>
      </w:r>
      <w:r w:rsidRPr="00477773">
        <w:fldChar w:fldCharType="end"/>
      </w:r>
      <w:r w:rsidRPr="00477773">
        <w:t>.  The Government argued that the applicant should have complained to the domestic courts of the unconstitutionality (because of its alleged contrariety to the Convention) of Law no. 296/2006. Only after a refusal by the domestic courts to refer the case to the Constitutional Court or after a decision by the latter in the very applicant</w:t>
      </w:r>
      <w:r w:rsidR="00477773" w:rsidRPr="00477773">
        <w:t>’</w:t>
      </w:r>
      <w:r w:rsidRPr="00477773">
        <w:t>s case, the applicant would have exhausted all available and effective domestic remedies.</w:t>
      </w:r>
    </w:p>
    <w:p w14:paraId="24C0F57A" w14:textId="4D93B321" w:rsidR="005F7F2C" w:rsidRPr="00477773" w:rsidRDefault="005F7F2C" w:rsidP="00477773">
      <w:pPr>
        <w:pStyle w:val="JuPara"/>
      </w:pPr>
      <w:r w:rsidRPr="00477773">
        <w:fldChar w:fldCharType="begin"/>
      </w:r>
      <w:r w:rsidRPr="00477773">
        <w:instrText xml:space="preserve"> SEQ level0 \*arabic </w:instrText>
      </w:r>
      <w:r w:rsidRPr="00477773">
        <w:fldChar w:fldCharType="separate"/>
      </w:r>
      <w:r w:rsidR="00477773" w:rsidRPr="00477773">
        <w:rPr>
          <w:noProof/>
        </w:rPr>
        <w:t>17</w:t>
      </w:r>
      <w:r w:rsidRPr="00477773">
        <w:fldChar w:fldCharType="end"/>
      </w:r>
      <w:r w:rsidRPr="00477773">
        <w:t>.  The applicant did not contest the Government</w:t>
      </w:r>
      <w:r w:rsidR="00477773" w:rsidRPr="00477773">
        <w:t>’</w:t>
      </w:r>
      <w:r w:rsidRPr="00477773">
        <w:t>s argument.</w:t>
      </w:r>
    </w:p>
    <w:p w14:paraId="58A7DCA6" w14:textId="3B6233F7" w:rsidR="005F7F2C" w:rsidRPr="00477773" w:rsidRDefault="005F7F2C" w:rsidP="00477773">
      <w:pPr>
        <w:pStyle w:val="JuPara"/>
      </w:pPr>
      <w:r w:rsidRPr="00477773">
        <w:fldChar w:fldCharType="begin"/>
      </w:r>
      <w:r w:rsidRPr="00477773">
        <w:instrText xml:space="preserve"> SEQ level0 \*arabic </w:instrText>
      </w:r>
      <w:r w:rsidRPr="00477773">
        <w:fldChar w:fldCharType="separate"/>
      </w:r>
      <w:r w:rsidR="00477773" w:rsidRPr="00477773">
        <w:rPr>
          <w:noProof/>
        </w:rPr>
        <w:t>18</w:t>
      </w:r>
      <w:r w:rsidRPr="00477773">
        <w:fldChar w:fldCharType="end"/>
      </w:r>
      <w:r w:rsidRPr="00477773">
        <w:t xml:space="preserve">.  The Court notes that according to Rule 55 of the Rules of Court, any plea of inadmissibility must be raised by the respondent Contracting Party in its written or oral observations on the admissibility of the application (see among many authorities </w:t>
      </w:r>
      <w:proofErr w:type="spellStart"/>
      <w:r w:rsidRPr="00477773">
        <w:rPr>
          <w:i/>
        </w:rPr>
        <w:t>Khlaifia</w:t>
      </w:r>
      <w:proofErr w:type="spellEnd"/>
      <w:r w:rsidRPr="00477773">
        <w:rPr>
          <w:i/>
        </w:rPr>
        <w:t xml:space="preserve"> and Others v. Italy</w:t>
      </w:r>
      <w:r w:rsidRPr="00477773">
        <w:t xml:space="preserve"> [GC], no. 16483/12, §§</w:t>
      </w:r>
      <w:r w:rsidR="00E04767" w:rsidRPr="00477773">
        <w:t> </w:t>
      </w:r>
      <w:r w:rsidRPr="00477773">
        <w:t>52-53, 15 December 2016</w:t>
      </w:r>
      <w:r w:rsidR="005904B4" w:rsidRPr="00477773">
        <w:t>,</w:t>
      </w:r>
      <w:r w:rsidRPr="00477773">
        <w:t xml:space="preserve"> and </w:t>
      </w:r>
      <w:r w:rsidRPr="00477773">
        <w:rPr>
          <w:i/>
        </w:rPr>
        <w:t>N.C. v. Italy</w:t>
      </w:r>
      <w:r w:rsidRPr="00477773">
        <w:t xml:space="preserve"> [GC], no. 24952/94, §</w:t>
      </w:r>
      <w:r w:rsidR="00A67924" w:rsidRPr="00477773">
        <w:t> </w:t>
      </w:r>
      <w:r w:rsidRPr="00477773">
        <w:t xml:space="preserve">44, ECHR 2002 X, 15 December 2016). In the present case, the Government did not raise an objection as to the non-exhaustion of domestic remedies in their observations of 24 April 2019 on the admissibility and merits. The question of a failure by the applicant to request the referral of a question of </w:t>
      </w:r>
      <w:r w:rsidRPr="00477773">
        <w:lastRenderedPageBreak/>
        <w:t>constitutionality of Law no. 296/2006 was raised only in their additional observations and submissions on just satisfaction. The Court further notes that during the proceedings before it the Government did not indicate any impediment by which they had been prevented from referring, in their initial observations of 24 April 2019 on the admissibility and merits of the case, to a failure by the applicants to propose to domestic courts to raise a question of constitutionality.</w:t>
      </w:r>
    </w:p>
    <w:p w14:paraId="2E34A010" w14:textId="2F801AC4" w:rsidR="005F7F2C" w:rsidRPr="00477773" w:rsidRDefault="005F7F2C" w:rsidP="00477773">
      <w:pPr>
        <w:pStyle w:val="JuPara"/>
      </w:pPr>
      <w:r w:rsidRPr="00477773">
        <w:fldChar w:fldCharType="begin"/>
      </w:r>
      <w:r w:rsidRPr="00477773">
        <w:instrText xml:space="preserve"> SEQ level0 \*arabic </w:instrText>
      </w:r>
      <w:r w:rsidRPr="00477773">
        <w:fldChar w:fldCharType="separate"/>
      </w:r>
      <w:r w:rsidR="00477773" w:rsidRPr="00477773">
        <w:rPr>
          <w:noProof/>
        </w:rPr>
        <w:t>19</w:t>
      </w:r>
      <w:r w:rsidRPr="00477773">
        <w:fldChar w:fldCharType="end"/>
      </w:r>
      <w:r w:rsidRPr="00477773">
        <w:t>.  It follows that the Government are estopped from relying on a failure to exhaust domestic remedies.</w:t>
      </w:r>
    </w:p>
    <w:p w14:paraId="33ED46B4" w14:textId="77777777" w:rsidR="005F7F2C" w:rsidRPr="00477773" w:rsidRDefault="005F7F2C" w:rsidP="00477773">
      <w:pPr>
        <w:pStyle w:val="JuH1"/>
      </w:pPr>
      <w:r w:rsidRPr="00477773">
        <w:t>Six-month rule</w:t>
      </w:r>
    </w:p>
    <w:bookmarkStart w:id="7" w:name="seimesi"/>
    <w:p w14:paraId="30BE2668" w14:textId="16AA37C4" w:rsidR="005F7F2C" w:rsidRPr="00477773" w:rsidRDefault="005F7F2C" w:rsidP="00477773">
      <w:pPr>
        <w:pStyle w:val="JuPara"/>
      </w:pPr>
      <w:r w:rsidRPr="00477773">
        <w:fldChar w:fldCharType="begin"/>
      </w:r>
      <w:r w:rsidRPr="00477773">
        <w:instrText xml:space="preserve"> SEQ level0 \*arabic </w:instrText>
      </w:r>
      <w:r w:rsidRPr="00477773">
        <w:fldChar w:fldCharType="separate"/>
      </w:r>
      <w:r w:rsidR="00477773" w:rsidRPr="00477773">
        <w:rPr>
          <w:noProof/>
        </w:rPr>
        <w:t>20</w:t>
      </w:r>
      <w:r w:rsidRPr="00477773">
        <w:fldChar w:fldCharType="end"/>
      </w:r>
      <w:bookmarkEnd w:id="7"/>
      <w:r w:rsidRPr="00477773">
        <w:t>.  The Government contended that the application had been lodged out of time. They argued that the final decision of the Court of Appeal had been delivered on 16 July 2011, whereas the applicant had introduced his application on 28 February 2013. Moreover, since the entry into force of Law no. 296/2006 did not leave any possibility to the domestic courts to decide in a different way and since the applicant had affirmed that, following judgment 172/2008 of the Constitutional Court, the remedy he had exhausted was bound to fail, he should have lodged his application within six months of the entry into force of the law, or, at most, within six months of the Constitutional Court</w:t>
      </w:r>
      <w:r w:rsidR="00477773" w:rsidRPr="00477773">
        <w:t>’</w:t>
      </w:r>
      <w:r w:rsidRPr="00477773">
        <w:t>s judgment.</w:t>
      </w:r>
    </w:p>
    <w:p w14:paraId="09D43468" w14:textId="3AAB97BB" w:rsidR="005F7F2C" w:rsidRPr="00477773" w:rsidRDefault="005F7F2C" w:rsidP="00477773">
      <w:pPr>
        <w:pStyle w:val="JuPara"/>
      </w:pPr>
      <w:r w:rsidRPr="00477773">
        <w:fldChar w:fldCharType="begin"/>
      </w:r>
      <w:r w:rsidRPr="00477773">
        <w:instrText xml:space="preserve"> SEQ level0 \*arabic </w:instrText>
      </w:r>
      <w:r w:rsidRPr="00477773">
        <w:fldChar w:fldCharType="separate"/>
      </w:r>
      <w:r w:rsidR="00477773" w:rsidRPr="00477773">
        <w:rPr>
          <w:noProof/>
        </w:rPr>
        <w:t>21</w:t>
      </w:r>
      <w:r w:rsidRPr="00477773">
        <w:fldChar w:fldCharType="end"/>
      </w:r>
      <w:r w:rsidRPr="00477773">
        <w:t>.  The applicant did not contest the Government</w:t>
      </w:r>
      <w:r w:rsidR="00477773" w:rsidRPr="00477773">
        <w:t>’</w:t>
      </w:r>
      <w:r w:rsidRPr="00477773">
        <w:t>s thesis.</w:t>
      </w:r>
    </w:p>
    <w:p w14:paraId="2CEB3E58" w14:textId="401A2A4C" w:rsidR="005F7F2C" w:rsidRPr="00477773" w:rsidRDefault="005F7F2C" w:rsidP="00477773">
      <w:pPr>
        <w:pStyle w:val="JuPara"/>
      </w:pPr>
      <w:r w:rsidRPr="00477773">
        <w:fldChar w:fldCharType="begin"/>
      </w:r>
      <w:r w:rsidRPr="00477773">
        <w:instrText xml:space="preserve"> SEQ level0 \*arabic </w:instrText>
      </w:r>
      <w:r w:rsidRPr="00477773">
        <w:fldChar w:fldCharType="separate"/>
      </w:r>
      <w:r w:rsidR="00477773" w:rsidRPr="00477773">
        <w:rPr>
          <w:noProof/>
        </w:rPr>
        <w:t>22</w:t>
      </w:r>
      <w:r w:rsidRPr="00477773">
        <w:fldChar w:fldCharType="end"/>
      </w:r>
      <w:r w:rsidRPr="00477773">
        <w:t xml:space="preserve">.  The Court reiterates that, as a rule, the six-month period runs from the date of the final decision in the process of exhaustion of domestic remedies. Where it is clear from the outset however that no effective remedy is available to the applicant, the period runs from the date of the acts or measures complained of, or from the date of knowledge of that act or its effect on or prejudice to the applicant (see </w:t>
      </w:r>
      <w:r w:rsidRPr="00477773">
        <w:rPr>
          <w:i/>
        </w:rPr>
        <w:t>Dennis and Others v. the United Kingdom</w:t>
      </w:r>
      <w:r w:rsidRPr="00477773">
        <w:t xml:space="preserve"> (dec.), no. 76573/01, 2 July 2002). Where an applicant avails himself of an apparently existing remedy and only subsequently becomes aware of circumstances which render the remedy ineffective, it may be appropriate for the purposes of Article 35 § 1 to take the start of the six-month period from the date when the applicant first became or ought to have become aware of those circumstances (</w:t>
      </w:r>
      <w:proofErr w:type="spellStart"/>
      <w:r w:rsidRPr="00477773">
        <w:rPr>
          <w:i/>
        </w:rPr>
        <w:t>Varnava</w:t>
      </w:r>
      <w:proofErr w:type="spellEnd"/>
      <w:r w:rsidRPr="00477773">
        <w:rPr>
          <w:i/>
        </w:rPr>
        <w:t xml:space="preserve"> and Others v. Turkey</w:t>
      </w:r>
      <w:r w:rsidRPr="00477773">
        <w:t xml:space="preserve"> [GC], nos. 16064/90 and 8 others, § 157, ECHR 2009, and </w:t>
      </w:r>
      <w:r w:rsidRPr="00477773">
        <w:rPr>
          <w:i/>
        </w:rPr>
        <w:t>Edwards v.</w:t>
      </w:r>
      <w:r w:rsidR="00A67924" w:rsidRPr="00477773">
        <w:rPr>
          <w:i/>
        </w:rPr>
        <w:t> </w:t>
      </w:r>
      <w:r w:rsidRPr="00477773">
        <w:rPr>
          <w:i/>
        </w:rPr>
        <w:t>the United Kingdom</w:t>
      </w:r>
      <w:r w:rsidRPr="00477773">
        <w:t xml:space="preserve"> (dec.), no. 46477/99, 7 June 2001).</w:t>
      </w:r>
    </w:p>
    <w:bookmarkStart w:id="8" w:name="paragraph23"/>
    <w:p w14:paraId="57C37129" w14:textId="71516DF9" w:rsidR="005F7F2C" w:rsidRPr="00477773" w:rsidRDefault="00AB1239" w:rsidP="00477773">
      <w:pPr>
        <w:pStyle w:val="JuPara"/>
      </w:pPr>
      <w:r w:rsidRPr="00477773">
        <w:fldChar w:fldCharType="begin"/>
      </w:r>
      <w:r w:rsidRPr="00477773">
        <w:instrText xml:space="preserve"> SEQ level0 \*arabic \* MERGEFORMAT </w:instrText>
      </w:r>
      <w:r w:rsidRPr="00477773">
        <w:fldChar w:fldCharType="separate"/>
      </w:r>
      <w:r w:rsidR="00477773" w:rsidRPr="00477773">
        <w:rPr>
          <w:noProof/>
        </w:rPr>
        <w:t>23</w:t>
      </w:r>
      <w:r w:rsidRPr="00477773">
        <w:fldChar w:fldCharType="end"/>
      </w:r>
      <w:bookmarkEnd w:id="8"/>
      <w:r w:rsidRPr="00477773">
        <w:t>.  </w:t>
      </w:r>
      <w:r w:rsidR="005F7F2C" w:rsidRPr="00477773">
        <w:t xml:space="preserve">Having regard to the above-mentioned principles, the Court notes that it is the applicant himself who declared, in his application form, that following judgment 172/2008 of the Constitutional Court he had become aware that the remedy he was pursuing (the appeal to the Naples Court of Appeal) was bound to fail (see paragraph </w:t>
      </w:r>
      <w:r w:rsidR="005F7F2C" w:rsidRPr="00477773">
        <w:fldChar w:fldCharType="begin"/>
      </w:r>
      <w:r w:rsidR="005F7F2C" w:rsidRPr="00477773">
        <w:instrText xml:space="preserve"> REF paragraph11 \h </w:instrText>
      </w:r>
      <w:r w:rsidR="005F7F2C" w:rsidRPr="00477773">
        <w:fldChar w:fldCharType="separate"/>
      </w:r>
      <w:r w:rsidR="00477773" w:rsidRPr="00477773">
        <w:rPr>
          <w:noProof/>
        </w:rPr>
        <w:t>10</w:t>
      </w:r>
      <w:r w:rsidR="005F7F2C" w:rsidRPr="00477773">
        <w:fldChar w:fldCharType="end"/>
      </w:r>
      <w:r w:rsidR="005F7F2C" w:rsidRPr="00477773">
        <w:t xml:space="preserve"> above). For this reason, he decided not to show up to two consecutive hearings, causing the discontinuance of his case. No explanation whatsoever has been given by </w:t>
      </w:r>
      <w:r w:rsidR="005F7F2C" w:rsidRPr="00477773">
        <w:lastRenderedPageBreak/>
        <w:t>the applicant as to the delay between the publishing of judgment 172/2008 and the filing of his application with the Court.</w:t>
      </w:r>
    </w:p>
    <w:p w14:paraId="7FD91EC3" w14:textId="7409DBD0" w:rsidR="005F7F2C" w:rsidRPr="00477773" w:rsidRDefault="005F7F2C" w:rsidP="00477773">
      <w:pPr>
        <w:pStyle w:val="JuPara"/>
      </w:pPr>
      <w:r w:rsidRPr="00477773">
        <w:fldChar w:fldCharType="begin"/>
      </w:r>
      <w:r w:rsidRPr="00477773">
        <w:instrText xml:space="preserve"> SEQ level0 \*arabic </w:instrText>
      </w:r>
      <w:r w:rsidRPr="00477773">
        <w:fldChar w:fldCharType="separate"/>
      </w:r>
      <w:r w:rsidR="00477773" w:rsidRPr="00477773">
        <w:rPr>
          <w:noProof/>
        </w:rPr>
        <w:t>24</w:t>
      </w:r>
      <w:r w:rsidRPr="00477773">
        <w:fldChar w:fldCharType="end"/>
      </w:r>
      <w:r w:rsidRPr="00477773">
        <w:t>.  The Court therefore finds that the six-month period started to run on 23</w:t>
      </w:r>
      <w:r w:rsidR="00A67924" w:rsidRPr="00477773">
        <w:t> </w:t>
      </w:r>
      <w:r w:rsidRPr="00477773">
        <w:t>May 2008 when the Constitutional Court rendered its judgment and, since the application was lodged with the Court on 28 February 2013, the applicant</w:t>
      </w:r>
      <w:r w:rsidR="00477773" w:rsidRPr="00477773">
        <w:t>’</w:t>
      </w:r>
      <w:r w:rsidRPr="00477773">
        <w:t>s complaint under Article 6 of the Convention is inadmissible for failure to comply with the six-month rule. It must thus be rejected under Article</w:t>
      </w:r>
      <w:r w:rsidR="00A67924" w:rsidRPr="00477773">
        <w:t> </w:t>
      </w:r>
      <w:r w:rsidRPr="00477773">
        <w:t>35 §§ 1 and 4 of the Convention.</w:t>
      </w:r>
    </w:p>
    <w:p w14:paraId="477E1C1F" w14:textId="77777777" w:rsidR="005F7F2C" w:rsidRPr="00477773" w:rsidRDefault="005F7F2C" w:rsidP="00477773">
      <w:pPr>
        <w:pStyle w:val="JuHA"/>
      </w:pPr>
      <w:r w:rsidRPr="00477773">
        <w:t>Complaint under Article 1 of Protocol No. 1 to the Convention</w:t>
      </w:r>
    </w:p>
    <w:p w14:paraId="4C099FB6" w14:textId="27EFDA08" w:rsidR="005F7F2C" w:rsidRPr="00477773" w:rsidRDefault="005F7F2C" w:rsidP="00477773">
      <w:pPr>
        <w:pStyle w:val="JuPara"/>
      </w:pPr>
      <w:r w:rsidRPr="00477773">
        <w:fldChar w:fldCharType="begin"/>
      </w:r>
      <w:r w:rsidRPr="00477773">
        <w:instrText xml:space="preserve"> SEQ level0 \*arabic </w:instrText>
      </w:r>
      <w:r w:rsidRPr="00477773">
        <w:fldChar w:fldCharType="separate"/>
      </w:r>
      <w:r w:rsidR="00477773" w:rsidRPr="00477773">
        <w:rPr>
          <w:noProof/>
        </w:rPr>
        <w:t>25</w:t>
      </w:r>
      <w:r w:rsidRPr="00477773">
        <w:fldChar w:fldCharType="end"/>
      </w:r>
      <w:r w:rsidRPr="00477773">
        <w:t>.  The applicant further complained that the enactment of Law no.</w:t>
      </w:r>
      <w:r w:rsidR="00A67924" w:rsidRPr="00477773">
        <w:t> </w:t>
      </w:r>
      <w:r w:rsidRPr="00477773">
        <w:t>296/2006 and its application to his case constituted an unjustified interference with his possessions, contrary to Article 1 of Protocol No. 1 to the Convention, which reads as follows:</w:t>
      </w:r>
    </w:p>
    <w:p w14:paraId="2840E9C7" w14:textId="77777777" w:rsidR="005F7F2C" w:rsidRPr="00477773" w:rsidRDefault="005F7F2C" w:rsidP="00477773">
      <w:pPr>
        <w:pStyle w:val="JuQuot"/>
      </w:pPr>
      <w:r w:rsidRPr="00477773">
        <w:t>“Every natural or legal person is entitled to the peaceful enjoyment of his possessions. No one shall be deprived of his possessions except in the public interest and subject to the conditions provided for by law and by the general principles of international law.</w:t>
      </w:r>
    </w:p>
    <w:p w14:paraId="5D5536E8" w14:textId="77777777" w:rsidR="005F7F2C" w:rsidRPr="00477773" w:rsidRDefault="005F7F2C" w:rsidP="00477773">
      <w:pPr>
        <w:pStyle w:val="JuQuot"/>
      </w:pPr>
      <w:r w:rsidRPr="00477773">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14:paraId="2928444A" w14:textId="77777777" w:rsidR="005F7F2C" w:rsidRPr="00477773" w:rsidRDefault="005F7F2C" w:rsidP="00477773">
      <w:pPr>
        <w:pStyle w:val="JuH1"/>
      </w:pPr>
      <w:r w:rsidRPr="00477773">
        <w:t>Non-exhaustion of domestic remedies</w:t>
      </w:r>
    </w:p>
    <w:p w14:paraId="4007BAB0" w14:textId="438A9F86" w:rsidR="005F7F2C" w:rsidRPr="00477773" w:rsidRDefault="005F7F2C" w:rsidP="00477773">
      <w:pPr>
        <w:pStyle w:val="JuPara"/>
      </w:pPr>
      <w:r w:rsidRPr="00477773">
        <w:fldChar w:fldCharType="begin"/>
      </w:r>
      <w:r w:rsidRPr="00477773">
        <w:instrText xml:space="preserve"> SEQ level0 \*arabic </w:instrText>
      </w:r>
      <w:r w:rsidRPr="00477773">
        <w:fldChar w:fldCharType="separate"/>
      </w:r>
      <w:r w:rsidR="00477773" w:rsidRPr="00477773">
        <w:rPr>
          <w:noProof/>
        </w:rPr>
        <w:t>26</w:t>
      </w:r>
      <w:r w:rsidRPr="00477773">
        <w:fldChar w:fldCharType="end"/>
      </w:r>
      <w:r w:rsidRPr="00477773">
        <w:t>.  The Government contested that the applicant did not exhaust all available and effective domestic remedies, since he failed to complain to the domestic courts of the unconstitutionality of Law no. 296/2006.</w:t>
      </w:r>
    </w:p>
    <w:p w14:paraId="44EABA4C" w14:textId="4D7180A4" w:rsidR="005F7F2C" w:rsidRPr="00477773" w:rsidRDefault="005F7F2C" w:rsidP="00477773">
      <w:pPr>
        <w:pStyle w:val="JuPara"/>
      </w:pPr>
      <w:r w:rsidRPr="00477773">
        <w:fldChar w:fldCharType="begin"/>
      </w:r>
      <w:r w:rsidRPr="00477773">
        <w:instrText xml:space="preserve"> SEQ level0 \*arabic </w:instrText>
      </w:r>
      <w:r w:rsidRPr="00477773">
        <w:fldChar w:fldCharType="separate"/>
      </w:r>
      <w:r w:rsidR="00477773" w:rsidRPr="00477773">
        <w:rPr>
          <w:noProof/>
        </w:rPr>
        <w:t>27</w:t>
      </w:r>
      <w:r w:rsidRPr="00477773">
        <w:fldChar w:fldCharType="end"/>
      </w:r>
      <w:r w:rsidRPr="00477773">
        <w:t>.  The applicant did not contest the Government</w:t>
      </w:r>
      <w:r w:rsidR="00477773" w:rsidRPr="00477773">
        <w:t>’</w:t>
      </w:r>
      <w:r w:rsidRPr="00477773">
        <w:t>s thesis.</w:t>
      </w:r>
    </w:p>
    <w:p w14:paraId="0D402C14" w14:textId="1F3916C7" w:rsidR="005F7F2C" w:rsidRPr="00477773" w:rsidRDefault="005F7F2C" w:rsidP="00477773">
      <w:pPr>
        <w:pStyle w:val="JuPara"/>
      </w:pPr>
      <w:r w:rsidRPr="00477773">
        <w:fldChar w:fldCharType="begin"/>
      </w:r>
      <w:r w:rsidRPr="00477773">
        <w:instrText xml:space="preserve"> SEQ level0 \*arabic </w:instrText>
      </w:r>
      <w:r w:rsidRPr="00477773">
        <w:fldChar w:fldCharType="separate"/>
      </w:r>
      <w:r w:rsidR="00477773" w:rsidRPr="00477773">
        <w:rPr>
          <w:noProof/>
        </w:rPr>
        <w:t>28</w:t>
      </w:r>
      <w:r w:rsidRPr="00477773">
        <w:fldChar w:fldCharType="end"/>
      </w:r>
      <w:r w:rsidRPr="00477773">
        <w:t>.  Referring to its findings in respect of the applicant</w:t>
      </w:r>
      <w:r w:rsidR="00477773" w:rsidRPr="00477773">
        <w:t>’</w:t>
      </w:r>
      <w:r w:rsidRPr="00477773">
        <w:t>s complaint under Article</w:t>
      </w:r>
      <w:r w:rsidR="00F917C0" w:rsidRPr="00477773">
        <w:t> </w:t>
      </w:r>
      <w:r w:rsidRPr="00477773">
        <w:t>6 § 1 of the Convention, the Court reiterates that the Government did not raise such objection in their observations of 24 April 2019 on the admissibility and merits.</w:t>
      </w:r>
    </w:p>
    <w:p w14:paraId="3839903A" w14:textId="5F92F032" w:rsidR="005F7F2C" w:rsidRPr="00477773" w:rsidRDefault="005F7F2C" w:rsidP="00477773">
      <w:pPr>
        <w:pStyle w:val="JuPara"/>
      </w:pPr>
      <w:r w:rsidRPr="00477773">
        <w:fldChar w:fldCharType="begin"/>
      </w:r>
      <w:r w:rsidRPr="00477773">
        <w:instrText xml:space="preserve"> SEQ level0 \*arabic </w:instrText>
      </w:r>
      <w:r w:rsidRPr="00477773">
        <w:fldChar w:fldCharType="separate"/>
      </w:r>
      <w:r w:rsidR="00477773" w:rsidRPr="00477773">
        <w:rPr>
          <w:noProof/>
        </w:rPr>
        <w:t>29</w:t>
      </w:r>
      <w:r w:rsidRPr="00477773">
        <w:fldChar w:fldCharType="end"/>
      </w:r>
      <w:r w:rsidRPr="00477773">
        <w:t>.  Consequently, the Government are estopped from relying on a failure to exhaust domestic remedies.</w:t>
      </w:r>
    </w:p>
    <w:p w14:paraId="135EDE82" w14:textId="77777777" w:rsidR="005F7F2C" w:rsidRPr="00477773" w:rsidRDefault="005F7F2C" w:rsidP="00477773">
      <w:pPr>
        <w:pStyle w:val="JuH1"/>
      </w:pPr>
      <w:r w:rsidRPr="00477773">
        <w:t>Six-month rule</w:t>
      </w:r>
    </w:p>
    <w:bookmarkEnd w:id="6"/>
    <w:p w14:paraId="398AE81C" w14:textId="2207CDBA" w:rsidR="005F7F2C" w:rsidRPr="00477773" w:rsidRDefault="005F7F2C" w:rsidP="00477773">
      <w:pPr>
        <w:pStyle w:val="JuPara"/>
      </w:pPr>
      <w:r w:rsidRPr="00477773">
        <w:fldChar w:fldCharType="begin"/>
      </w:r>
      <w:r w:rsidRPr="00477773">
        <w:instrText xml:space="preserve"> SEQ level0 \*arabic </w:instrText>
      </w:r>
      <w:r w:rsidRPr="00477773">
        <w:fldChar w:fldCharType="separate"/>
      </w:r>
      <w:r w:rsidR="00477773" w:rsidRPr="00477773">
        <w:rPr>
          <w:noProof/>
        </w:rPr>
        <w:t>30</w:t>
      </w:r>
      <w:r w:rsidRPr="00477773">
        <w:fldChar w:fldCharType="end"/>
      </w:r>
      <w:r w:rsidRPr="00477773">
        <w:t>.  The Government argued that the interference caused by the legislative intervention would cause, if any, an “instantaneous” violation and that, as such, the complaint would be out of the six months for the same reasons set forth in relation to the applicant</w:t>
      </w:r>
      <w:r w:rsidR="00477773" w:rsidRPr="00477773">
        <w:t>’</w:t>
      </w:r>
      <w:r w:rsidRPr="00477773">
        <w:t>s complaint under Article 6 §</w:t>
      </w:r>
      <w:r w:rsidR="00E04767" w:rsidRPr="00477773">
        <w:t> </w:t>
      </w:r>
      <w:r w:rsidRPr="00477773">
        <w:t xml:space="preserve">1 of the Convention (see paragraph </w:t>
      </w:r>
      <w:r w:rsidRPr="00477773">
        <w:fldChar w:fldCharType="begin"/>
      </w:r>
      <w:r w:rsidRPr="00477773">
        <w:instrText xml:space="preserve"> REF seimesi \h </w:instrText>
      </w:r>
      <w:r w:rsidRPr="00477773">
        <w:fldChar w:fldCharType="separate"/>
      </w:r>
      <w:r w:rsidR="00477773" w:rsidRPr="00477773">
        <w:rPr>
          <w:noProof/>
        </w:rPr>
        <w:t>20</w:t>
      </w:r>
      <w:r w:rsidRPr="00477773">
        <w:fldChar w:fldCharType="end"/>
      </w:r>
      <w:r w:rsidRPr="00477773">
        <w:t xml:space="preserve"> above).</w:t>
      </w:r>
    </w:p>
    <w:p w14:paraId="74A3E3E8" w14:textId="275A4BE0" w:rsidR="005F7F2C" w:rsidRPr="00477773" w:rsidRDefault="005F7F2C" w:rsidP="00477773">
      <w:pPr>
        <w:pStyle w:val="JuPara"/>
      </w:pPr>
      <w:r w:rsidRPr="00477773">
        <w:fldChar w:fldCharType="begin"/>
      </w:r>
      <w:r w:rsidRPr="00477773">
        <w:instrText xml:space="preserve"> SEQ level0 \*arabic </w:instrText>
      </w:r>
      <w:r w:rsidRPr="00477773">
        <w:fldChar w:fldCharType="separate"/>
      </w:r>
      <w:r w:rsidR="00477773" w:rsidRPr="00477773">
        <w:rPr>
          <w:noProof/>
        </w:rPr>
        <w:t>31</w:t>
      </w:r>
      <w:r w:rsidRPr="00477773">
        <w:fldChar w:fldCharType="end"/>
      </w:r>
      <w:r w:rsidRPr="00477773">
        <w:t xml:space="preserve">.  In the alternative, they claimed that even if the Court were to adhere to the thesis according to which Law no. 296/2006 would continuously </w:t>
      </w:r>
      <w:r w:rsidRPr="00477773">
        <w:lastRenderedPageBreak/>
        <w:t>interfere with the applicant</w:t>
      </w:r>
      <w:r w:rsidR="00477773" w:rsidRPr="00477773">
        <w:t>’</w:t>
      </w:r>
      <w:r w:rsidRPr="00477773">
        <w:t>s right to property, the complaint under Article</w:t>
      </w:r>
      <w:r w:rsidR="00E04767" w:rsidRPr="00477773">
        <w:t> </w:t>
      </w:r>
      <w:r w:rsidRPr="00477773">
        <w:t>1 of Protocol No. 1 would still be lodged out of time. The Government observed that the applicant should have known that he had no possibility to obtain the recalculation of his pension since the entry into force of Law no.</w:t>
      </w:r>
      <w:r w:rsidR="00AB1239" w:rsidRPr="00477773">
        <w:t> </w:t>
      </w:r>
      <w:r w:rsidRPr="00477773">
        <w:t>296/2006 or, at the latest, since judgment 172/2008 of the Constitutional Court. Therefore, he should have lodged his application within six months of the entry into force of the law, or, at most, within six months of the Constitutional Court</w:t>
      </w:r>
      <w:r w:rsidR="00477773" w:rsidRPr="00477773">
        <w:t>’</w:t>
      </w:r>
      <w:r w:rsidRPr="00477773">
        <w:t>s judgment. In this context, they referred to the duty of diligence on persons wishing to apply to the Court to complain about continuing situations.</w:t>
      </w:r>
    </w:p>
    <w:bookmarkStart w:id="9" w:name="_Hlk62483498"/>
    <w:p w14:paraId="4A6793E2" w14:textId="61A50255" w:rsidR="005F7F2C" w:rsidRPr="00477773" w:rsidRDefault="005F7F2C" w:rsidP="00477773">
      <w:pPr>
        <w:pStyle w:val="JuPara"/>
      </w:pPr>
      <w:r w:rsidRPr="00477773">
        <w:fldChar w:fldCharType="begin"/>
      </w:r>
      <w:r w:rsidRPr="00477773">
        <w:instrText xml:space="preserve"> SEQ level0 \*arabic </w:instrText>
      </w:r>
      <w:r w:rsidRPr="00477773">
        <w:fldChar w:fldCharType="separate"/>
      </w:r>
      <w:r w:rsidR="00477773" w:rsidRPr="00477773">
        <w:rPr>
          <w:noProof/>
        </w:rPr>
        <w:t>32</w:t>
      </w:r>
      <w:r w:rsidRPr="00477773">
        <w:fldChar w:fldCharType="end"/>
      </w:r>
      <w:r w:rsidRPr="00477773">
        <w:t>.  The applicant did not contest the Government</w:t>
      </w:r>
      <w:r w:rsidR="00477773" w:rsidRPr="00477773">
        <w:t>’</w:t>
      </w:r>
      <w:r w:rsidRPr="00477773">
        <w:t>s thesis.</w:t>
      </w:r>
    </w:p>
    <w:bookmarkStart w:id="10" w:name="_Hlk62484097"/>
    <w:p w14:paraId="00B68E51" w14:textId="3F9D1C85" w:rsidR="005F7F2C" w:rsidRPr="00477773" w:rsidRDefault="005F7F2C" w:rsidP="00477773">
      <w:pPr>
        <w:pStyle w:val="JuPara"/>
      </w:pPr>
      <w:r w:rsidRPr="00477773">
        <w:fldChar w:fldCharType="begin"/>
      </w:r>
      <w:r w:rsidRPr="00477773">
        <w:instrText xml:space="preserve"> SEQ level0 \*arabic </w:instrText>
      </w:r>
      <w:r w:rsidRPr="00477773">
        <w:fldChar w:fldCharType="separate"/>
      </w:r>
      <w:r w:rsidR="00477773" w:rsidRPr="00477773">
        <w:rPr>
          <w:noProof/>
        </w:rPr>
        <w:t>33</w:t>
      </w:r>
      <w:r w:rsidRPr="00477773">
        <w:fldChar w:fldCharType="end"/>
      </w:r>
      <w:r w:rsidRPr="00477773">
        <w:t>.  Referring to its findings in respect of the applicant</w:t>
      </w:r>
      <w:r w:rsidR="00477773" w:rsidRPr="00477773">
        <w:t>’</w:t>
      </w:r>
      <w:r w:rsidRPr="00477773">
        <w:t>s complaint under Article</w:t>
      </w:r>
      <w:r w:rsidR="00E04767" w:rsidRPr="00477773">
        <w:t> </w:t>
      </w:r>
      <w:r w:rsidRPr="00477773">
        <w:t>6</w:t>
      </w:r>
      <w:r w:rsidR="00E04767" w:rsidRPr="00477773">
        <w:t> </w:t>
      </w:r>
      <w:r w:rsidRPr="00477773">
        <w:t>§</w:t>
      </w:r>
      <w:r w:rsidR="00E04767" w:rsidRPr="00477773">
        <w:t> </w:t>
      </w:r>
      <w:r w:rsidRPr="00477773">
        <w:t xml:space="preserve">1 of the Convention, the Court reiterates that the applicant himself declared, in his application form, that following judgment 172/2008 of the Constitutional Court in 2008 he had become aware that the remedy he was pursuing (the appeal to the Naples Court of Appeal) was bound to fail (see paragraph </w:t>
      </w:r>
      <w:r w:rsidRPr="00477773">
        <w:fldChar w:fldCharType="begin"/>
      </w:r>
      <w:r w:rsidRPr="00477773">
        <w:instrText xml:space="preserve"> REF paragraph23 \h </w:instrText>
      </w:r>
      <w:r w:rsidRPr="00477773">
        <w:fldChar w:fldCharType="separate"/>
      </w:r>
      <w:r w:rsidR="00477773" w:rsidRPr="00477773">
        <w:rPr>
          <w:noProof/>
        </w:rPr>
        <w:t>23</w:t>
      </w:r>
      <w:r w:rsidRPr="00477773">
        <w:fldChar w:fldCharType="end"/>
      </w:r>
      <w:r w:rsidRPr="00477773">
        <w:t xml:space="preserve"> above).</w:t>
      </w:r>
    </w:p>
    <w:p w14:paraId="6927E27B" w14:textId="0A9B4616" w:rsidR="005F7F2C" w:rsidRPr="00477773" w:rsidRDefault="005F7F2C" w:rsidP="00477773">
      <w:pPr>
        <w:pStyle w:val="JuPara"/>
      </w:pPr>
      <w:r w:rsidRPr="00477773">
        <w:fldChar w:fldCharType="begin"/>
      </w:r>
      <w:r w:rsidRPr="00477773">
        <w:instrText xml:space="preserve"> SEQ level0 \*arabic </w:instrText>
      </w:r>
      <w:r w:rsidRPr="00477773">
        <w:fldChar w:fldCharType="separate"/>
      </w:r>
      <w:r w:rsidR="00477773" w:rsidRPr="00477773">
        <w:rPr>
          <w:noProof/>
        </w:rPr>
        <w:t>34</w:t>
      </w:r>
      <w:r w:rsidRPr="00477773">
        <w:fldChar w:fldCharType="end"/>
      </w:r>
      <w:r w:rsidRPr="00477773">
        <w:t xml:space="preserve">.  For this reason, the Court finds that, irrespective of the instantaneous or continuous nature of the situation complained of, the applicant had a duty of diligence and initiative to lodge his application with the Court without unexplained or excessive delay in order to ensure legal certainty since he no longer had any hope of obtaining a solution at the domestic level (see, </w:t>
      </w:r>
      <w:r w:rsidRPr="00477773">
        <w:rPr>
          <w:i/>
          <w:iCs/>
        </w:rPr>
        <w:t>mutatis mutandis</w:t>
      </w:r>
      <w:r w:rsidRPr="00477773">
        <w:t xml:space="preserve">, </w:t>
      </w:r>
      <w:proofErr w:type="spellStart"/>
      <w:r w:rsidRPr="00477773">
        <w:rPr>
          <w:i/>
        </w:rPr>
        <w:t>Samadov</w:t>
      </w:r>
      <w:proofErr w:type="spellEnd"/>
      <w:r w:rsidRPr="00477773">
        <w:rPr>
          <w:i/>
        </w:rPr>
        <w:t xml:space="preserve"> v. Armenia</w:t>
      </w:r>
      <w:r w:rsidRPr="00477773">
        <w:t xml:space="preserve"> (dec.), no. 36606/08, §§ 12 and 14, 26</w:t>
      </w:r>
      <w:r w:rsidR="00E04767" w:rsidRPr="00477773">
        <w:t> </w:t>
      </w:r>
      <w:r w:rsidRPr="00477773">
        <w:t>January 2021). He should therefore have lodged his application within six months from judgment 172/2008 of the Constitutional Court, dated 23</w:t>
      </w:r>
      <w:r w:rsidR="00AB1239" w:rsidRPr="00477773">
        <w:t> </w:t>
      </w:r>
      <w:r w:rsidRPr="00477773">
        <w:t>May 2008.</w:t>
      </w:r>
    </w:p>
    <w:p w14:paraId="1CE4C06B" w14:textId="24AD36FE" w:rsidR="005F7F2C" w:rsidRPr="00477773" w:rsidRDefault="005F7F2C" w:rsidP="00477773">
      <w:pPr>
        <w:pStyle w:val="JuPara"/>
      </w:pPr>
      <w:r w:rsidRPr="00477773">
        <w:fldChar w:fldCharType="begin"/>
      </w:r>
      <w:r w:rsidRPr="00477773">
        <w:instrText xml:space="preserve"> SEQ level0 \*arabic </w:instrText>
      </w:r>
      <w:r w:rsidRPr="00477773">
        <w:fldChar w:fldCharType="separate"/>
      </w:r>
      <w:r w:rsidR="00477773" w:rsidRPr="00477773">
        <w:rPr>
          <w:noProof/>
        </w:rPr>
        <w:t>35</w:t>
      </w:r>
      <w:r w:rsidRPr="00477773">
        <w:fldChar w:fldCharType="end"/>
      </w:r>
      <w:r w:rsidRPr="00477773">
        <w:t>.  </w:t>
      </w:r>
      <w:proofErr w:type="gramStart"/>
      <w:r w:rsidRPr="00477773">
        <w:t>Therefore</w:t>
      </w:r>
      <w:proofErr w:type="gramEnd"/>
      <w:r w:rsidRPr="00477773">
        <w:t xml:space="preserve"> the applicant</w:t>
      </w:r>
      <w:r w:rsidR="00477773" w:rsidRPr="00477773">
        <w:t>’</w:t>
      </w:r>
      <w:r w:rsidRPr="00477773">
        <w:t>s complaint under Article 1 of Protocol No.</w:t>
      </w:r>
      <w:r w:rsidR="00AB1239" w:rsidRPr="00477773">
        <w:t> </w:t>
      </w:r>
      <w:r w:rsidRPr="00477773">
        <w:t>1 is inadmissible as out of time and must be rejected under Article</w:t>
      </w:r>
      <w:r w:rsidR="00E04767" w:rsidRPr="00477773">
        <w:t> </w:t>
      </w:r>
      <w:r w:rsidRPr="00477773">
        <w:t>35 §§</w:t>
      </w:r>
      <w:r w:rsidR="00E04767" w:rsidRPr="00477773">
        <w:t> </w:t>
      </w:r>
      <w:r w:rsidRPr="00477773">
        <w:t>1 and 4 of the Convention.</w:t>
      </w:r>
    </w:p>
    <w:bookmarkEnd w:id="9"/>
    <w:bookmarkEnd w:id="10"/>
    <w:p w14:paraId="0EB68CD6" w14:textId="77777777" w:rsidR="005F7F2C" w:rsidRPr="00477773" w:rsidRDefault="005F7F2C" w:rsidP="00477773">
      <w:pPr>
        <w:pStyle w:val="JuParaLast"/>
      </w:pPr>
      <w:r w:rsidRPr="00477773">
        <w:t>For these reasons, the Court, unanimously,</w:t>
      </w:r>
    </w:p>
    <w:p w14:paraId="0C45978E" w14:textId="77777777" w:rsidR="005F7F2C" w:rsidRPr="00477773" w:rsidRDefault="005F7F2C" w:rsidP="00477773">
      <w:pPr>
        <w:pStyle w:val="DecList"/>
      </w:pPr>
      <w:r w:rsidRPr="00477773">
        <w:rPr>
          <w:i/>
        </w:rPr>
        <w:t>Declares</w:t>
      </w:r>
      <w:r w:rsidRPr="00477773">
        <w:t xml:space="preserve"> the application inadmissible.</w:t>
      </w:r>
    </w:p>
    <w:p w14:paraId="64D3E3B2" w14:textId="26311379" w:rsidR="00BD1692" w:rsidRPr="00477773" w:rsidRDefault="006267D3" w:rsidP="00477773">
      <w:pPr>
        <w:pStyle w:val="JuParaLast"/>
        <w:rPr>
          <w:sz w:val="14"/>
        </w:rPr>
      </w:pPr>
      <w:r w:rsidRPr="00477773">
        <w:t xml:space="preserve">Done in English and notified in writing on </w:t>
      </w:r>
      <w:r w:rsidR="005F7F2C" w:rsidRPr="00477773">
        <w:t>14 October 2021</w:t>
      </w:r>
      <w:r w:rsidRPr="00477773">
        <w:t>.</w:t>
      </w:r>
    </w:p>
    <w:p w14:paraId="08B3E5AA" w14:textId="017FF9D7" w:rsidR="005F7F2C" w:rsidRPr="00477773" w:rsidRDefault="005F7F2C" w:rsidP="00477773">
      <w:pPr>
        <w:pStyle w:val="JuSigned"/>
        <w:keepNext/>
        <w:keepLines/>
        <w:rPr>
          <w:color w:val="F8F8F8" w:themeColor="background2"/>
          <w:lang w:val="da-DK"/>
        </w:rPr>
      </w:pPr>
    </w:p>
    <w:p w14:paraId="5130B789" w14:textId="38FE5E03" w:rsidR="002B6368" w:rsidRPr="00477773" w:rsidRDefault="005F7F2C" w:rsidP="00477773">
      <w:pPr>
        <w:pStyle w:val="JuSigned"/>
        <w:tabs>
          <w:tab w:val="clear" w:pos="851"/>
          <w:tab w:val="clear" w:pos="6407"/>
          <w:tab w:val="center" w:pos="1134"/>
          <w:tab w:val="center" w:pos="5812"/>
        </w:tabs>
        <w:rPr>
          <w:lang w:val="da-DK"/>
        </w:rPr>
      </w:pPr>
      <w:r w:rsidRPr="00477773">
        <w:rPr>
          <w:rFonts w:eastAsia="PMingLiU"/>
          <w:lang w:val="da-DK"/>
        </w:rPr>
        <w:t>Liv Tigerstedt</w:t>
      </w:r>
      <w:r w:rsidR="001D1233" w:rsidRPr="00477773">
        <w:rPr>
          <w:lang w:val="da-DK"/>
        </w:rPr>
        <w:tab/>
      </w:r>
      <w:r w:rsidRPr="00477773">
        <w:rPr>
          <w:lang w:val="da-DK"/>
        </w:rPr>
        <w:t>Péter Paczolay</w:t>
      </w:r>
      <w:r w:rsidR="001D1233" w:rsidRPr="00477773">
        <w:rPr>
          <w:lang w:val="da-DK"/>
        </w:rPr>
        <w:br/>
      </w:r>
      <w:r w:rsidRPr="00477773">
        <w:rPr>
          <w:lang w:val="da-DK"/>
        </w:rPr>
        <w:t>Deputy Registrar</w:t>
      </w:r>
      <w:r w:rsidR="006267D3" w:rsidRPr="00477773">
        <w:rPr>
          <w:lang w:val="da-DK"/>
        </w:rPr>
        <w:tab/>
        <w:t>President</w:t>
      </w:r>
    </w:p>
    <w:p w14:paraId="4E4072CA" w14:textId="74B37221" w:rsidR="00ED04C3" w:rsidRPr="00477773" w:rsidRDefault="00DE146E" w:rsidP="00477773">
      <w:pPr>
        <w:pStyle w:val="DecHTitle"/>
        <w:rPr>
          <w:lang w:val="da-DK"/>
        </w:rPr>
      </w:pPr>
    </w:p>
    <w:sectPr w:rsidR="00ED04C3" w:rsidRPr="00477773" w:rsidSect="0076040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28CB0" w14:textId="77777777" w:rsidR="00DE146E" w:rsidRPr="005F7F2C" w:rsidRDefault="00DE146E">
      <w:r w:rsidRPr="005F7F2C">
        <w:separator/>
      </w:r>
    </w:p>
  </w:endnote>
  <w:endnote w:type="continuationSeparator" w:id="0">
    <w:p w14:paraId="61285788" w14:textId="77777777" w:rsidR="00DE146E" w:rsidRPr="005F7F2C" w:rsidRDefault="00DE146E">
      <w:r w:rsidRPr="005F7F2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116E3" w14:textId="034D34A9" w:rsidR="001818B5" w:rsidRPr="005F7F2C" w:rsidRDefault="005F7F2C"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AA04" w14:textId="02917478" w:rsidR="001818B5" w:rsidRPr="005F7F2C" w:rsidRDefault="005F7F2C"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11CCB" w14:textId="78C062AD" w:rsidR="005F7F2C" w:rsidRPr="00150BFA" w:rsidRDefault="005F7F2C" w:rsidP="0020718E">
    <w:pPr>
      <w:jc w:val="center"/>
    </w:pPr>
    <w:r w:rsidRPr="005F7F2C">
      <w:rPr>
        <w:noProof/>
        <w:lang w:val="en-US" w:eastAsia="ja-JP"/>
      </w:rPr>
      <w:drawing>
        <wp:inline distT="0" distB="0" distL="0" distR="0" wp14:anchorId="52A5CA0C" wp14:editId="3D451EFA">
          <wp:extent cx="771525" cy="619125"/>
          <wp:effectExtent l="0" t="0" r="9525" b="9525"/>
          <wp:docPr id="13" name="Picture 1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DE12F3F" w14:textId="1FC236E3" w:rsidR="00F05C7B" w:rsidRPr="005F7F2C" w:rsidRDefault="00DE146E"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594C2" w14:textId="77777777" w:rsidR="00DE146E" w:rsidRPr="005F7F2C" w:rsidRDefault="00DE146E">
      <w:r w:rsidRPr="005F7F2C">
        <w:separator/>
      </w:r>
    </w:p>
  </w:footnote>
  <w:footnote w:type="continuationSeparator" w:id="0">
    <w:p w14:paraId="393B4050" w14:textId="77777777" w:rsidR="00DE146E" w:rsidRPr="005F7F2C" w:rsidRDefault="00DE146E">
      <w:r w:rsidRPr="005F7F2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C3271" w14:textId="753B21C7" w:rsidR="00F05C7B" w:rsidRPr="005F7F2C" w:rsidRDefault="005F7F2C" w:rsidP="0076040F">
    <w:pPr>
      <w:pStyle w:val="JuHeader"/>
    </w:pPr>
    <w:r>
      <w:t>MATTEO v. ITALY</w:t>
    </w:r>
    <w:r w:rsidR="006267D3" w:rsidRPr="005F7F2C">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C3FB4" w14:textId="4FE11855" w:rsidR="00F05C7B" w:rsidRPr="005F7F2C" w:rsidRDefault="005F7F2C" w:rsidP="000D61E7">
    <w:pPr>
      <w:pStyle w:val="JuHeader"/>
    </w:pPr>
    <w:r>
      <w:t>MATTEO v. ITALY</w:t>
    </w:r>
    <w:r w:rsidR="006267D3" w:rsidRPr="005F7F2C">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BA3C4" w14:textId="57A3DD74" w:rsidR="005F7F2C" w:rsidRPr="00A45145" w:rsidRDefault="005F7F2C" w:rsidP="00A45145">
    <w:pPr>
      <w:jc w:val="center"/>
    </w:pPr>
    <w:r>
      <w:rPr>
        <w:noProof/>
        <w:lang w:val="en-US" w:eastAsia="ja-JP"/>
      </w:rPr>
      <w:drawing>
        <wp:inline distT="0" distB="0" distL="0" distR="0" wp14:anchorId="28E8C622" wp14:editId="0505DB53">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A4C3129" w14:textId="4CBBB1E1" w:rsidR="00F05C7B" w:rsidRPr="005F7F2C" w:rsidRDefault="00DE146E"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 w:name="Plural" w:val="0"/>
  </w:docVars>
  <w:rsids>
    <w:rsidRoot w:val="005F7F2C"/>
    <w:rsid w:val="00011390"/>
    <w:rsid w:val="00095FD8"/>
    <w:rsid w:val="000B1FA9"/>
    <w:rsid w:val="000D61E7"/>
    <w:rsid w:val="000E3A89"/>
    <w:rsid w:val="00132029"/>
    <w:rsid w:val="001D1233"/>
    <w:rsid w:val="00223591"/>
    <w:rsid w:val="002A7443"/>
    <w:rsid w:val="002F7DFB"/>
    <w:rsid w:val="003B50D7"/>
    <w:rsid w:val="003E3C60"/>
    <w:rsid w:val="00452087"/>
    <w:rsid w:val="00464268"/>
    <w:rsid w:val="00477773"/>
    <w:rsid w:val="004A4C71"/>
    <w:rsid w:val="004B4E73"/>
    <w:rsid w:val="004D7079"/>
    <w:rsid w:val="005904B4"/>
    <w:rsid w:val="005E56C2"/>
    <w:rsid w:val="005F11CB"/>
    <w:rsid w:val="005F7F2C"/>
    <w:rsid w:val="006262FA"/>
    <w:rsid w:val="006267D3"/>
    <w:rsid w:val="006300E9"/>
    <w:rsid w:val="00653EF4"/>
    <w:rsid w:val="00656B81"/>
    <w:rsid w:val="00666D62"/>
    <w:rsid w:val="00684606"/>
    <w:rsid w:val="006D4D63"/>
    <w:rsid w:val="006E123B"/>
    <w:rsid w:val="007907C0"/>
    <w:rsid w:val="007A74FC"/>
    <w:rsid w:val="007B2364"/>
    <w:rsid w:val="00812D10"/>
    <w:rsid w:val="008D10E4"/>
    <w:rsid w:val="008F0A92"/>
    <w:rsid w:val="008F7189"/>
    <w:rsid w:val="00956B2A"/>
    <w:rsid w:val="00956FD3"/>
    <w:rsid w:val="0096293E"/>
    <w:rsid w:val="009656DE"/>
    <w:rsid w:val="009B6F49"/>
    <w:rsid w:val="009C21E8"/>
    <w:rsid w:val="009E01FB"/>
    <w:rsid w:val="00A67924"/>
    <w:rsid w:val="00AA5AEE"/>
    <w:rsid w:val="00AB1239"/>
    <w:rsid w:val="00AC58E5"/>
    <w:rsid w:val="00B140D3"/>
    <w:rsid w:val="00BD1692"/>
    <w:rsid w:val="00C42C12"/>
    <w:rsid w:val="00C51546"/>
    <w:rsid w:val="00D415D6"/>
    <w:rsid w:val="00DB6354"/>
    <w:rsid w:val="00DE146E"/>
    <w:rsid w:val="00E04767"/>
    <w:rsid w:val="00E5464B"/>
    <w:rsid w:val="00EE38CA"/>
    <w:rsid w:val="00F24AB9"/>
    <w:rsid w:val="00F917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8D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C51546"/>
    <w:rPr>
      <w:sz w:val="24"/>
      <w:szCs w:val="24"/>
      <w:lang w:val="en-GB"/>
    </w:rPr>
  </w:style>
  <w:style w:type="paragraph" w:styleId="Titolo1">
    <w:name w:val="heading 1"/>
    <w:basedOn w:val="Normale"/>
    <w:next w:val="Normale"/>
    <w:link w:val="Titolo1Carattere"/>
    <w:uiPriority w:val="98"/>
    <w:semiHidden/>
    <w:rsid w:val="00C51546"/>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C51546"/>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C51546"/>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C51546"/>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C51546"/>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C51546"/>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C51546"/>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C51546"/>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C51546"/>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C51546"/>
    <w:pPr>
      <w:tabs>
        <w:tab w:val="center" w:pos="851"/>
        <w:tab w:val="center" w:pos="6407"/>
      </w:tabs>
      <w:spacing w:before="720"/>
    </w:pPr>
  </w:style>
  <w:style w:type="paragraph" w:customStyle="1" w:styleId="JuPara">
    <w:name w:val="Ju_Para"/>
    <w:aliases w:val="_Para"/>
    <w:basedOn w:val="NormalJustified"/>
    <w:link w:val="JuParaChar"/>
    <w:uiPriority w:val="4"/>
    <w:qFormat/>
    <w:rsid w:val="00C51546"/>
    <w:pPr>
      <w:ind w:firstLine="284"/>
    </w:pPr>
  </w:style>
  <w:style w:type="character" w:styleId="Numeropagina">
    <w:name w:val="page number"/>
    <w:uiPriority w:val="98"/>
    <w:semiHidden/>
    <w:rsid w:val="00C51546"/>
    <w:rPr>
      <w:sz w:val="18"/>
    </w:rPr>
  </w:style>
  <w:style w:type="character" w:styleId="Rimandocommento">
    <w:name w:val="annotation reference"/>
    <w:basedOn w:val="Carpredefinitoparagrafo"/>
    <w:uiPriority w:val="98"/>
    <w:semiHidden/>
    <w:rsid w:val="00C51546"/>
    <w:rPr>
      <w:sz w:val="16"/>
      <w:szCs w:val="16"/>
    </w:rPr>
  </w:style>
  <w:style w:type="paragraph" w:styleId="Testocommento">
    <w:name w:val="annotation text"/>
    <w:basedOn w:val="Normale"/>
    <w:link w:val="TestocommentoCarattere"/>
    <w:uiPriority w:val="98"/>
    <w:semiHidden/>
    <w:rsid w:val="00C51546"/>
    <w:rPr>
      <w:sz w:val="20"/>
      <w:szCs w:val="20"/>
    </w:rPr>
  </w:style>
  <w:style w:type="character" w:customStyle="1" w:styleId="TestocommentoCarattere">
    <w:name w:val="Testo commento Carattere"/>
    <w:basedOn w:val="Carpredefinitoparagrafo"/>
    <w:link w:val="Testocommento"/>
    <w:uiPriority w:val="98"/>
    <w:semiHidden/>
    <w:rsid w:val="00C51546"/>
    <w:rPr>
      <w:sz w:val="20"/>
      <w:szCs w:val="20"/>
      <w:lang w:val="en-GB"/>
    </w:rPr>
  </w:style>
  <w:style w:type="paragraph" w:customStyle="1" w:styleId="DecHTitle">
    <w:name w:val="Dec_H_Title"/>
    <w:aliases w:val="_Title_1"/>
    <w:basedOn w:val="JuPara"/>
    <w:next w:val="JuPara"/>
    <w:uiPriority w:val="38"/>
    <w:qFormat/>
    <w:rsid w:val="00C51546"/>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C51546"/>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C51546"/>
    <w:pPr>
      <w:keepNext/>
      <w:keepLines/>
      <w:spacing w:before="1320" w:after="280"/>
      <w:contextualSpacing/>
      <w:jc w:val="center"/>
    </w:pPr>
    <w:rPr>
      <w:b/>
    </w:rPr>
  </w:style>
  <w:style w:type="paragraph" w:customStyle="1" w:styleId="JuHeader">
    <w:name w:val="Ju_Header"/>
    <w:aliases w:val="_Header"/>
    <w:basedOn w:val="Intestazione"/>
    <w:uiPriority w:val="29"/>
    <w:qFormat/>
    <w:rsid w:val="00C51546"/>
    <w:pPr>
      <w:tabs>
        <w:tab w:val="clear" w:pos="4536"/>
        <w:tab w:val="clear" w:pos="9072"/>
      </w:tabs>
      <w:jc w:val="center"/>
    </w:pPr>
    <w:rPr>
      <w:sz w:val="18"/>
    </w:rPr>
  </w:style>
  <w:style w:type="paragraph" w:styleId="Intestazione">
    <w:name w:val="header"/>
    <w:basedOn w:val="Normale"/>
    <w:link w:val="IntestazioneCarattere"/>
    <w:uiPriority w:val="98"/>
    <w:semiHidden/>
    <w:rsid w:val="00C51546"/>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C51546"/>
    <w:rPr>
      <w:sz w:val="24"/>
      <w:szCs w:val="24"/>
      <w:lang w:val="en-GB"/>
    </w:rPr>
  </w:style>
  <w:style w:type="paragraph" w:styleId="Testofumetto">
    <w:name w:val="Balloon Text"/>
    <w:basedOn w:val="Normale"/>
    <w:link w:val="TestofumettoCarattere"/>
    <w:uiPriority w:val="98"/>
    <w:semiHidden/>
    <w:rsid w:val="00C51546"/>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C51546"/>
    <w:rPr>
      <w:rFonts w:ascii="Tahoma" w:hAnsi="Tahoma" w:cs="Tahoma"/>
      <w:sz w:val="16"/>
      <w:szCs w:val="16"/>
      <w:lang w:val="en-GB"/>
    </w:rPr>
  </w:style>
  <w:style w:type="paragraph" w:customStyle="1" w:styleId="DummyStyle">
    <w:name w:val="Dummy_Style"/>
    <w:aliases w:val="_Dummy"/>
    <w:basedOn w:val="Normale"/>
    <w:semiHidden/>
    <w:qFormat/>
    <w:rsid w:val="00C51546"/>
    <w:rPr>
      <w:color w:val="00B050"/>
      <w:sz w:val="22"/>
    </w:rPr>
  </w:style>
  <w:style w:type="paragraph" w:customStyle="1" w:styleId="NormalJustified">
    <w:name w:val="Normal_Justified"/>
    <w:basedOn w:val="Normale"/>
    <w:semiHidden/>
    <w:rsid w:val="00C51546"/>
    <w:pPr>
      <w:jc w:val="both"/>
    </w:pPr>
  </w:style>
  <w:style w:type="paragraph" w:customStyle="1" w:styleId="JuQuot">
    <w:name w:val="Ju_Quot"/>
    <w:aliases w:val="_Quote"/>
    <w:basedOn w:val="NormalJustified"/>
    <w:uiPriority w:val="20"/>
    <w:qFormat/>
    <w:rsid w:val="00C51546"/>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C51546"/>
    <w:pPr>
      <w:keepNext/>
      <w:keepLines/>
      <w:tabs>
        <w:tab w:val="right" w:pos="7938"/>
      </w:tabs>
      <w:ind w:firstLine="0"/>
      <w:jc w:val="center"/>
    </w:pPr>
    <w:rPr>
      <w:i/>
    </w:rPr>
  </w:style>
  <w:style w:type="table" w:customStyle="1" w:styleId="ECHRDNTable">
    <w:name w:val="ECHR_DN_Table"/>
    <w:basedOn w:val="Tabellanormale"/>
    <w:uiPriority w:val="99"/>
    <w:rsid w:val="00C51546"/>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C51546"/>
    <w:pPr>
      <w:numPr>
        <w:numId w:val="5"/>
      </w:numPr>
    </w:pPr>
  </w:style>
  <w:style w:type="numbering" w:customStyle="1" w:styleId="ECHRA1StyleList">
    <w:name w:val="ECHR_A1_Style_List"/>
    <w:basedOn w:val="Nessunelenco"/>
    <w:uiPriority w:val="99"/>
    <w:rsid w:val="00C51546"/>
    <w:pPr>
      <w:numPr>
        <w:numId w:val="6"/>
      </w:numPr>
    </w:pPr>
  </w:style>
  <w:style w:type="paragraph" w:customStyle="1" w:styleId="JuHArticle">
    <w:name w:val="Ju_H_Article"/>
    <w:aliases w:val="_Title_Quote"/>
    <w:basedOn w:val="Normale"/>
    <w:next w:val="JuQuot"/>
    <w:uiPriority w:val="19"/>
    <w:qFormat/>
    <w:rsid w:val="00C51546"/>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C51546"/>
    <w:pPr>
      <w:numPr>
        <w:numId w:val="7"/>
      </w:numPr>
    </w:pPr>
  </w:style>
  <w:style w:type="table" w:customStyle="1" w:styleId="ECHRHeaderTable">
    <w:name w:val="ECHR_Header_Table"/>
    <w:basedOn w:val="Tabellanormale"/>
    <w:uiPriority w:val="99"/>
    <w:rsid w:val="00C51546"/>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C51546"/>
    <w:pPr>
      <w:keepNext/>
      <w:keepLines/>
      <w:numPr>
        <w:numId w:val="1"/>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C51546"/>
    <w:pPr>
      <w:tabs>
        <w:tab w:val="center" w:pos="6407"/>
      </w:tabs>
      <w:spacing w:before="720"/>
      <w:jc w:val="right"/>
    </w:pPr>
  </w:style>
  <w:style w:type="table" w:customStyle="1" w:styleId="ECHRHeaderTableReduced">
    <w:name w:val="ECHR_Header_Table_Reduced"/>
    <w:basedOn w:val="Tabellanormale"/>
    <w:uiPriority w:val="99"/>
    <w:rsid w:val="00C51546"/>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C51546"/>
    <w:rPr>
      <w:caps w:val="0"/>
      <w:smallCaps/>
    </w:rPr>
  </w:style>
  <w:style w:type="character" w:customStyle="1" w:styleId="JuITMark">
    <w:name w:val="Ju_ITMark"/>
    <w:aliases w:val="_ITMark"/>
    <w:basedOn w:val="Carpredefinitoparagrafo"/>
    <w:uiPriority w:val="54"/>
    <w:qFormat/>
    <w:rsid w:val="00C51546"/>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C5154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C51546"/>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C51546"/>
    <w:pPr>
      <w:keepNext/>
      <w:keepLines/>
      <w:numPr>
        <w:ilvl w:val="1"/>
        <w:numId w:val="1"/>
      </w:numPr>
      <w:tabs>
        <w:tab w:val="left" w:pos="454"/>
        <w:tab w:val="left" w:pos="567"/>
        <w:tab w:val="left" w:pos="680"/>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C51546"/>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C51546"/>
    <w:pPr>
      <w:keepNext/>
      <w:keepLines/>
      <w:numPr>
        <w:ilvl w:val="2"/>
        <w:numId w:val="1"/>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C51546"/>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C51546"/>
    <w:pPr>
      <w:keepNext/>
      <w:keepLines/>
      <w:numPr>
        <w:ilvl w:val="3"/>
        <w:numId w:val="1"/>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C51546"/>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C51546"/>
    <w:pPr>
      <w:keepNext/>
      <w:keepLines/>
      <w:numPr>
        <w:ilvl w:val="4"/>
        <w:numId w:val="1"/>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C51546"/>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C51546"/>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C51546"/>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C51546"/>
    <w:pPr>
      <w:keepNext/>
      <w:keepLines/>
      <w:numPr>
        <w:ilvl w:val="6"/>
        <w:numId w:val="1"/>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C51546"/>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C51546"/>
    <w:pPr>
      <w:keepNext/>
      <w:keepLines/>
      <w:numPr>
        <w:ilvl w:val="7"/>
        <w:numId w:val="1"/>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C51546"/>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C51546"/>
    <w:pPr>
      <w:keepNext/>
      <w:keepLines/>
      <w:spacing w:before="240" w:after="240"/>
      <w:ind w:firstLine="284"/>
    </w:pPr>
  </w:style>
  <w:style w:type="table" w:customStyle="1" w:styleId="ECHRTableBoxHeader">
    <w:name w:val="ECHR_Table_Box_Header"/>
    <w:basedOn w:val="Tabellanormale"/>
    <w:rsid w:val="00C51546"/>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C51546"/>
    <w:pPr>
      <w:tabs>
        <w:tab w:val="left" w:pos="567"/>
        <w:tab w:val="left" w:pos="1134"/>
      </w:tabs>
    </w:pPr>
  </w:style>
  <w:style w:type="paragraph" w:customStyle="1" w:styleId="JuList">
    <w:name w:val="Ju_List"/>
    <w:aliases w:val="_List_1"/>
    <w:basedOn w:val="NormalJustified"/>
    <w:uiPriority w:val="23"/>
    <w:qFormat/>
    <w:rsid w:val="00C51546"/>
    <w:pPr>
      <w:numPr>
        <w:numId w:val="6"/>
      </w:numPr>
      <w:spacing w:before="280" w:after="60"/>
    </w:pPr>
  </w:style>
  <w:style w:type="paragraph" w:customStyle="1" w:styleId="JuLista">
    <w:name w:val="Ju_List_a"/>
    <w:aliases w:val="_List_2"/>
    <w:basedOn w:val="NormalJustified"/>
    <w:uiPriority w:val="23"/>
    <w:rsid w:val="00C51546"/>
    <w:pPr>
      <w:numPr>
        <w:ilvl w:val="1"/>
        <w:numId w:val="6"/>
      </w:numPr>
    </w:pPr>
  </w:style>
  <w:style w:type="paragraph" w:customStyle="1" w:styleId="JuListi">
    <w:name w:val="Ju_List_i"/>
    <w:aliases w:val="_List_3"/>
    <w:basedOn w:val="NormalJustified"/>
    <w:uiPriority w:val="23"/>
    <w:rsid w:val="00C51546"/>
    <w:pPr>
      <w:numPr>
        <w:ilvl w:val="2"/>
        <w:numId w:val="6"/>
      </w:numPr>
    </w:pPr>
  </w:style>
  <w:style w:type="table" w:customStyle="1" w:styleId="ECHRTableFax">
    <w:name w:val="ECHR_Table_Fax"/>
    <w:basedOn w:val="Tabellanormale"/>
    <w:uiPriority w:val="99"/>
    <w:rsid w:val="00C51546"/>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C51546"/>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C51546"/>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C51546"/>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C51546"/>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C5154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C51546"/>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C51546"/>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C51546"/>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C51546"/>
    <w:rPr>
      <w:b/>
      <w:bCs/>
    </w:rPr>
  </w:style>
  <w:style w:type="character" w:styleId="Enfasicorsivo">
    <w:name w:val="Emphasis"/>
    <w:uiPriority w:val="98"/>
    <w:semiHidden/>
    <w:qFormat/>
    <w:rsid w:val="00C51546"/>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C51546"/>
  </w:style>
  <w:style w:type="character" w:customStyle="1" w:styleId="NessunaspaziaturaCarattere">
    <w:name w:val="Nessuna spaziatura Carattere"/>
    <w:basedOn w:val="Carpredefinitoparagrafo"/>
    <w:link w:val="Nessunaspaziatura"/>
    <w:uiPriority w:val="98"/>
    <w:semiHidden/>
    <w:rsid w:val="00C51546"/>
    <w:rPr>
      <w:sz w:val="24"/>
      <w:szCs w:val="24"/>
      <w:lang w:val="en-GB"/>
    </w:rPr>
  </w:style>
  <w:style w:type="paragraph" w:styleId="Paragrafoelenco">
    <w:name w:val="List Paragraph"/>
    <w:basedOn w:val="Normale"/>
    <w:uiPriority w:val="98"/>
    <w:semiHidden/>
    <w:qFormat/>
    <w:rsid w:val="00C51546"/>
    <w:pPr>
      <w:ind w:left="720"/>
      <w:contextualSpacing/>
    </w:pPr>
  </w:style>
  <w:style w:type="paragraph" w:styleId="Citazione">
    <w:name w:val="Quote"/>
    <w:basedOn w:val="Normale"/>
    <w:next w:val="Normale"/>
    <w:link w:val="CitazioneCarattere"/>
    <w:uiPriority w:val="98"/>
    <w:semiHidden/>
    <w:qFormat/>
    <w:rsid w:val="00C51546"/>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C51546"/>
    <w:rPr>
      <w:i/>
      <w:iCs/>
      <w:sz w:val="24"/>
      <w:szCs w:val="24"/>
      <w:lang w:val="en-GB" w:bidi="en-US"/>
    </w:rPr>
  </w:style>
  <w:style w:type="paragraph" w:styleId="Citazioneintensa">
    <w:name w:val="Intense Quote"/>
    <w:basedOn w:val="Normale"/>
    <w:next w:val="Normale"/>
    <w:link w:val="CitazioneintensaCarattere"/>
    <w:uiPriority w:val="98"/>
    <w:semiHidden/>
    <w:qFormat/>
    <w:rsid w:val="00C51546"/>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C51546"/>
    <w:rPr>
      <w:b/>
      <w:bCs/>
      <w:i/>
      <w:iCs/>
      <w:sz w:val="24"/>
      <w:szCs w:val="24"/>
      <w:lang w:val="en-GB" w:bidi="en-US"/>
    </w:rPr>
  </w:style>
  <w:style w:type="character" w:styleId="Enfasidelicata">
    <w:name w:val="Subtle Emphasis"/>
    <w:uiPriority w:val="98"/>
    <w:semiHidden/>
    <w:qFormat/>
    <w:rsid w:val="00C51546"/>
    <w:rPr>
      <w:i/>
      <w:iCs/>
    </w:rPr>
  </w:style>
  <w:style w:type="character" w:styleId="Enfasiintensa">
    <w:name w:val="Intense Emphasis"/>
    <w:uiPriority w:val="98"/>
    <w:semiHidden/>
    <w:qFormat/>
    <w:rsid w:val="00C51546"/>
    <w:rPr>
      <w:b/>
      <w:bCs/>
    </w:rPr>
  </w:style>
  <w:style w:type="character" w:styleId="Riferimentodelicato">
    <w:name w:val="Subtle Reference"/>
    <w:uiPriority w:val="98"/>
    <w:semiHidden/>
    <w:qFormat/>
    <w:rsid w:val="00C51546"/>
    <w:rPr>
      <w:smallCaps/>
    </w:rPr>
  </w:style>
  <w:style w:type="character" w:styleId="Riferimentointenso">
    <w:name w:val="Intense Reference"/>
    <w:uiPriority w:val="98"/>
    <w:semiHidden/>
    <w:qFormat/>
    <w:rsid w:val="00C51546"/>
    <w:rPr>
      <w:smallCaps/>
      <w:spacing w:val="5"/>
      <w:u w:val="single"/>
    </w:rPr>
  </w:style>
  <w:style w:type="character" w:styleId="Titolodellibro">
    <w:name w:val="Book Title"/>
    <w:uiPriority w:val="98"/>
    <w:semiHidden/>
    <w:qFormat/>
    <w:rsid w:val="00C51546"/>
    <w:rPr>
      <w:i/>
      <w:iCs/>
      <w:smallCaps/>
      <w:spacing w:val="5"/>
    </w:rPr>
  </w:style>
  <w:style w:type="paragraph" w:styleId="Titolosommario">
    <w:name w:val="TOC Heading"/>
    <w:basedOn w:val="Normale"/>
    <w:next w:val="Normale"/>
    <w:uiPriority w:val="98"/>
    <w:semiHidden/>
    <w:qFormat/>
    <w:rsid w:val="00C51546"/>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C51546"/>
    <w:pPr>
      <w:numPr>
        <w:numId w:val="2"/>
      </w:numPr>
    </w:pPr>
  </w:style>
  <w:style w:type="numbering" w:styleId="1ai">
    <w:name w:val="Outline List 1"/>
    <w:basedOn w:val="Nessunelenco"/>
    <w:uiPriority w:val="99"/>
    <w:semiHidden/>
    <w:unhideWhenUsed/>
    <w:rsid w:val="00C51546"/>
    <w:pPr>
      <w:numPr>
        <w:numId w:val="3"/>
      </w:numPr>
    </w:pPr>
  </w:style>
  <w:style w:type="numbering" w:styleId="ArticoloSezione">
    <w:name w:val="Outline List 3"/>
    <w:basedOn w:val="Nessunelenco"/>
    <w:uiPriority w:val="99"/>
    <w:semiHidden/>
    <w:unhideWhenUsed/>
    <w:rsid w:val="00C51546"/>
    <w:pPr>
      <w:numPr>
        <w:numId w:val="4"/>
      </w:numPr>
    </w:pPr>
  </w:style>
  <w:style w:type="paragraph" w:styleId="Bibliografia">
    <w:name w:val="Bibliography"/>
    <w:basedOn w:val="Normale"/>
    <w:next w:val="Normale"/>
    <w:uiPriority w:val="98"/>
    <w:semiHidden/>
    <w:rsid w:val="00C51546"/>
  </w:style>
  <w:style w:type="paragraph" w:styleId="Testodelblocco">
    <w:name w:val="Block Text"/>
    <w:basedOn w:val="Normale"/>
    <w:uiPriority w:val="98"/>
    <w:semiHidden/>
    <w:rsid w:val="00C5154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C51546"/>
    <w:pPr>
      <w:spacing w:after="120"/>
    </w:pPr>
  </w:style>
  <w:style w:type="character" w:customStyle="1" w:styleId="CorpotestoCarattere">
    <w:name w:val="Corpo testo Carattere"/>
    <w:basedOn w:val="Carpredefinitoparagrafo"/>
    <w:link w:val="Corpotesto"/>
    <w:uiPriority w:val="98"/>
    <w:semiHidden/>
    <w:rsid w:val="00C51546"/>
    <w:rPr>
      <w:sz w:val="24"/>
      <w:szCs w:val="24"/>
      <w:lang w:val="en-GB"/>
    </w:rPr>
  </w:style>
  <w:style w:type="paragraph" w:styleId="Corpodeltesto2">
    <w:name w:val="Body Text 2"/>
    <w:basedOn w:val="Normale"/>
    <w:link w:val="Corpodeltesto2Carattere"/>
    <w:uiPriority w:val="98"/>
    <w:semiHidden/>
    <w:rsid w:val="00C51546"/>
    <w:pPr>
      <w:spacing w:after="120" w:line="480" w:lineRule="auto"/>
    </w:pPr>
  </w:style>
  <w:style w:type="character" w:customStyle="1" w:styleId="Corpodeltesto2Carattere">
    <w:name w:val="Corpo del testo 2 Carattere"/>
    <w:basedOn w:val="Carpredefinitoparagrafo"/>
    <w:link w:val="Corpodeltesto2"/>
    <w:uiPriority w:val="98"/>
    <w:semiHidden/>
    <w:rsid w:val="00C51546"/>
    <w:rPr>
      <w:sz w:val="24"/>
      <w:szCs w:val="24"/>
      <w:lang w:val="en-GB"/>
    </w:rPr>
  </w:style>
  <w:style w:type="paragraph" w:styleId="Corpodeltesto3">
    <w:name w:val="Body Text 3"/>
    <w:basedOn w:val="Normale"/>
    <w:link w:val="Corpodeltesto3Carattere"/>
    <w:uiPriority w:val="98"/>
    <w:semiHidden/>
    <w:rsid w:val="00C51546"/>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C51546"/>
    <w:rPr>
      <w:sz w:val="16"/>
      <w:szCs w:val="16"/>
      <w:lang w:val="en-GB"/>
    </w:rPr>
  </w:style>
  <w:style w:type="paragraph" w:styleId="Primorientrocorpodeltesto">
    <w:name w:val="Body Text First Indent"/>
    <w:basedOn w:val="Corpotesto"/>
    <w:link w:val="PrimorientrocorpodeltestoCarattere"/>
    <w:uiPriority w:val="98"/>
    <w:semiHidden/>
    <w:rsid w:val="00C51546"/>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C51546"/>
    <w:rPr>
      <w:sz w:val="24"/>
      <w:szCs w:val="24"/>
      <w:lang w:val="en-GB"/>
    </w:rPr>
  </w:style>
  <w:style w:type="paragraph" w:styleId="Rientrocorpodeltesto">
    <w:name w:val="Body Text Indent"/>
    <w:basedOn w:val="Normale"/>
    <w:link w:val="RientrocorpodeltestoCarattere"/>
    <w:uiPriority w:val="98"/>
    <w:semiHidden/>
    <w:rsid w:val="00C51546"/>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C51546"/>
    <w:rPr>
      <w:sz w:val="24"/>
      <w:szCs w:val="24"/>
      <w:lang w:val="en-GB"/>
    </w:rPr>
  </w:style>
  <w:style w:type="paragraph" w:styleId="Primorientrocorpodeltesto2">
    <w:name w:val="Body Text First Indent 2"/>
    <w:basedOn w:val="Rientrocorpodeltesto"/>
    <w:link w:val="Primorientrocorpodeltesto2Carattere"/>
    <w:uiPriority w:val="98"/>
    <w:semiHidden/>
    <w:rsid w:val="00C51546"/>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C51546"/>
    <w:rPr>
      <w:sz w:val="24"/>
      <w:szCs w:val="24"/>
      <w:lang w:val="en-GB"/>
    </w:rPr>
  </w:style>
  <w:style w:type="paragraph" w:styleId="Rientrocorpodeltesto2">
    <w:name w:val="Body Text Indent 2"/>
    <w:basedOn w:val="Normale"/>
    <w:link w:val="Rientrocorpodeltesto2Carattere"/>
    <w:uiPriority w:val="98"/>
    <w:semiHidden/>
    <w:rsid w:val="00C5154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C51546"/>
    <w:rPr>
      <w:sz w:val="24"/>
      <w:szCs w:val="24"/>
      <w:lang w:val="en-GB"/>
    </w:rPr>
  </w:style>
  <w:style w:type="paragraph" w:styleId="Rientrocorpodeltesto3">
    <w:name w:val="Body Text Indent 3"/>
    <w:basedOn w:val="Normale"/>
    <w:link w:val="Rientrocorpodeltesto3Carattere"/>
    <w:uiPriority w:val="98"/>
    <w:semiHidden/>
    <w:rsid w:val="00C5154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C51546"/>
    <w:rPr>
      <w:sz w:val="16"/>
      <w:szCs w:val="16"/>
      <w:lang w:val="en-GB"/>
    </w:rPr>
  </w:style>
  <w:style w:type="paragraph" w:styleId="Didascalia">
    <w:name w:val="caption"/>
    <w:basedOn w:val="Normale"/>
    <w:next w:val="Normale"/>
    <w:uiPriority w:val="98"/>
    <w:semiHidden/>
    <w:qFormat/>
    <w:rsid w:val="00C51546"/>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C51546"/>
    <w:pPr>
      <w:ind w:left="4252"/>
    </w:pPr>
  </w:style>
  <w:style w:type="character" w:customStyle="1" w:styleId="FormuladichiusuraCarattere">
    <w:name w:val="Formula di chiusura Carattere"/>
    <w:basedOn w:val="Carpredefinitoparagrafo"/>
    <w:link w:val="Formuladichiusura"/>
    <w:uiPriority w:val="98"/>
    <w:semiHidden/>
    <w:rsid w:val="00C51546"/>
    <w:rPr>
      <w:sz w:val="24"/>
      <w:szCs w:val="24"/>
      <w:lang w:val="en-GB"/>
    </w:rPr>
  </w:style>
  <w:style w:type="table" w:styleId="Grigliaacolori">
    <w:name w:val="Colorful Grid"/>
    <w:basedOn w:val="Tabellanormale"/>
    <w:uiPriority w:val="73"/>
    <w:semiHidden/>
    <w:rsid w:val="00C51546"/>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C51546"/>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C51546"/>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C5154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C51546"/>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C5154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C51546"/>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C51546"/>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C51546"/>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C51546"/>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C51546"/>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C51546"/>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C51546"/>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C51546"/>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C51546"/>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C51546"/>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C51546"/>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C51546"/>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C51546"/>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C51546"/>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C51546"/>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C51546"/>
    <w:rPr>
      <w:b/>
      <w:bCs/>
    </w:rPr>
  </w:style>
  <w:style w:type="character" w:customStyle="1" w:styleId="SoggettocommentoCarattere">
    <w:name w:val="Soggetto commento Carattere"/>
    <w:basedOn w:val="TestocommentoCarattere"/>
    <w:link w:val="Soggettocommento"/>
    <w:uiPriority w:val="98"/>
    <w:semiHidden/>
    <w:rsid w:val="00C51546"/>
    <w:rPr>
      <w:b/>
      <w:bCs/>
      <w:sz w:val="20"/>
      <w:szCs w:val="20"/>
      <w:lang w:val="en-GB"/>
    </w:rPr>
  </w:style>
  <w:style w:type="table" w:styleId="Elencoscuro">
    <w:name w:val="Dark List"/>
    <w:basedOn w:val="Tabellanormale"/>
    <w:uiPriority w:val="70"/>
    <w:semiHidden/>
    <w:rsid w:val="00C51546"/>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C51546"/>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C51546"/>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C51546"/>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C51546"/>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C51546"/>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C51546"/>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C51546"/>
  </w:style>
  <w:style w:type="character" w:customStyle="1" w:styleId="DataCarattere">
    <w:name w:val="Data Carattere"/>
    <w:basedOn w:val="Carpredefinitoparagrafo"/>
    <w:link w:val="Data"/>
    <w:uiPriority w:val="98"/>
    <w:semiHidden/>
    <w:rsid w:val="00C51546"/>
    <w:rPr>
      <w:sz w:val="24"/>
      <w:szCs w:val="24"/>
      <w:lang w:val="en-GB"/>
    </w:rPr>
  </w:style>
  <w:style w:type="paragraph" w:styleId="Mappadocumento">
    <w:name w:val="Document Map"/>
    <w:basedOn w:val="Normale"/>
    <w:link w:val="MappadocumentoCarattere"/>
    <w:uiPriority w:val="98"/>
    <w:semiHidden/>
    <w:rsid w:val="00C51546"/>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C51546"/>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C51546"/>
  </w:style>
  <w:style w:type="character" w:customStyle="1" w:styleId="FirmadipostaelettronicaCarattere">
    <w:name w:val="Firma di posta elettronica Carattere"/>
    <w:basedOn w:val="Carpredefinitoparagrafo"/>
    <w:link w:val="Firmadipostaelettronica"/>
    <w:uiPriority w:val="98"/>
    <w:semiHidden/>
    <w:rsid w:val="00C51546"/>
    <w:rPr>
      <w:sz w:val="24"/>
      <w:szCs w:val="24"/>
      <w:lang w:val="en-GB"/>
    </w:rPr>
  </w:style>
  <w:style w:type="character" w:styleId="Rimandonotadichiusura">
    <w:name w:val="endnote reference"/>
    <w:basedOn w:val="Carpredefinitoparagrafo"/>
    <w:uiPriority w:val="98"/>
    <w:semiHidden/>
    <w:rsid w:val="00C51546"/>
    <w:rPr>
      <w:vertAlign w:val="superscript"/>
    </w:rPr>
  </w:style>
  <w:style w:type="paragraph" w:styleId="Testonotadichiusura">
    <w:name w:val="endnote text"/>
    <w:basedOn w:val="Normale"/>
    <w:link w:val="TestonotadichiusuraCarattere"/>
    <w:uiPriority w:val="98"/>
    <w:semiHidden/>
    <w:rsid w:val="00C51546"/>
    <w:rPr>
      <w:sz w:val="20"/>
      <w:szCs w:val="20"/>
    </w:rPr>
  </w:style>
  <w:style w:type="character" w:customStyle="1" w:styleId="TestonotadichiusuraCarattere">
    <w:name w:val="Testo nota di chiusura Carattere"/>
    <w:basedOn w:val="Carpredefinitoparagrafo"/>
    <w:link w:val="Testonotadichiusura"/>
    <w:uiPriority w:val="98"/>
    <w:semiHidden/>
    <w:rsid w:val="00C51546"/>
    <w:rPr>
      <w:sz w:val="20"/>
      <w:szCs w:val="20"/>
      <w:lang w:val="en-GB"/>
    </w:rPr>
  </w:style>
  <w:style w:type="paragraph" w:styleId="Indirizzodestinatario">
    <w:name w:val="envelope address"/>
    <w:basedOn w:val="Normale"/>
    <w:uiPriority w:val="98"/>
    <w:semiHidden/>
    <w:rsid w:val="00C51546"/>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C51546"/>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C51546"/>
    <w:rPr>
      <w:color w:val="7030A0" w:themeColor="followedHyperlink"/>
      <w:u w:val="single"/>
    </w:rPr>
  </w:style>
  <w:style w:type="character" w:styleId="Rimandonotaapidipagina">
    <w:name w:val="footnote reference"/>
    <w:basedOn w:val="Carpredefinitoparagrafo"/>
    <w:uiPriority w:val="98"/>
    <w:semiHidden/>
    <w:rsid w:val="00C51546"/>
    <w:rPr>
      <w:vertAlign w:val="superscript"/>
    </w:rPr>
  </w:style>
  <w:style w:type="paragraph" w:styleId="Testonotaapidipagina">
    <w:name w:val="footnote text"/>
    <w:basedOn w:val="Normale"/>
    <w:link w:val="TestonotaapidipaginaCarattere"/>
    <w:uiPriority w:val="98"/>
    <w:semiHidden/>
    <w:rsid w:val="00C51546"/>
    <w:rPr>
      <w:sz w:val="20"/>
      <w:szCs w:val="20"/>
    </w:rPr>
  </w:style>
  <w:style w:type="character" w:customStyle="1" w:styleId="TestonotaapidipaginaCarattere">
    <w:name w:val="Testo nota a piè di pagina Carattere"/>
    <w:basedOn w:val="Carpredefinitoparagrafo"/>
    <w:link w:val="Testonotaapidipagina"/>
    <w:uiPriority w:val="98"/>
    <w:semiHidden/>
    <w:rsid w:val="00C51546"/>
    <w:rPr>
      <w:sz w:val="20"/>
      <w:szCs w:val="20"/>
      <w:lang w:val="en-GB"/>
    </w:rPr>
  </w:style>
  <w:style w:type="character" w:styleId="AcronimoHTML">
    <w:name w:val="HTML Acronym"/>
    <w:basedOn w:val="Carpredefinitoparagrafo"/>
    <w:uiPriority w:val="98"/>
    <w:semiHidden/>
    <w:rsid w:val="00C51546"/>
  </w:style>
  <w:style w:type="paragraph" w:styleId="IndirizzoHTML">
    <w:name w:val="HTML Address"/>
    <w:basedOn w:val="Normale"/>
    <w:link w:val="IndirizzoHTMLCarattere"/>
    <w:uiPriority w:val="98"/>
    <w:semiHidden/>
    <w:rsid w:val="00C51546"/>
    <w:rPr>
      <w:i/>
      <w:iCs/>
    </w:rPr>
  </w:style>
  <w:style w:type="character" w:customStyle="1" w:styleId="IndirizzoHTMLCarattere">
    <w:name w:val="Indirizzo HTML Carattere"/>
    <w:basedOn w:val="Carpredefinitoparagrafo"/>
    <w:link w:val="IndirizzoHTML"/>
    <w:uiPriority w:val="98"/>
    <w:semiHidden/>
    <w:rsid w:val="00C51546"/>
    <w:rPr>
      <w:i/>
      <w:iCs/>
      <w:sz w:val="24"/>
      <w:szCs w:val="24"/>
      <w:lang w:val="en-GB"/>
    </w:rPr>
  </w:style>
  <w:style w:type="character" w:styleId="CitazioneHTML">
    <w:name w:val="HTML Cite"/>
    <w:basedOn w:val="Carpredefinitoparagrafo"/>
    <w:uiPriority w:val="98"/>
    <w:semiHidden/>
    <w:rsid w:val="00C51546"/>
    <w:rPr>
      <w:i/>
      <w:iCs/>
    </w:rPr>
  </w:style>
  <w:style w:type="character" w:styleId="CodiceHTML">
    <w:name w:val="HTML Code"/>
    <w:basedOn w:val="Carpredefinitoparagrafo"/>
    <w:uiPriority w:val="98"/>
    <w:semiHidden/>
    <w:rsid w:val="00C51546"/>
    <w:rPr>
      <w:rFonts w:ascii="Consolas" w:hAnsi="Consolas" w:cs="Consolas"/>
      <w:sz w:val="20"/>
      <w:szCs w:val="20"/>
    </w:rPr>
  </w:style>
  <w:style w:type="character" w:styleId="DefinizioneHTML">
    <w:name w:val="HTML Definition"/>
    <w:basedOn w:val="Carpredefinitoparagrafo"/>
    <w:uiPriority w:val="98"/>
    <w:semiHidden/>
    <w:rsid w:val="00C51546"/>
    <w:rPr>
      <w:i/>
      <w:iCs/>
    </w:rPr>
  </w:style>
  <w:style w:type="character" w:styleId="TastieraHTML">
    <w:name w:val="HTML Keyboard"/>
    <w:basedOn w:val="Carpredefinitoparagrafo"/>
    <w:uiPriority w:val="98"/>
    <w:semiHidden/>
    <w:rsid w:val="00C51546"/>
    <w:rPr>
      <w:rFonts w:ascii="Consolas" w:hAnsi="Consolas" w:cs="Consolas"/>
      <w:sz w:val="20"/>
      <w:szCs w:val="20"/>
    </w:rPr>
  </w:style>
  <w:style w:type="paragraph" w:styleId="PreformattatoHTML">
    <w:name w:val="HTML Preformatted"/>
    <w:basedOn w:val="Normale"/>
    <w:link w:val="PreformattatoHTMLCarattere"/>
    <w:uiPriority w:val="98"/>
    <w:semiHidden/>
    <w:rsid w:val="00C51546"/>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C51546"/>
    <w:rPr>
      <w:rFonts w:ascii="Consolas" w:hAnsi="Consolas" w:cs="Consolas"/>
      <w:sz w:val="20"/>
      <w:szCs w:val="20"/>
      <w:lang w:val="en-GB"/>
    </w:rPr>
  </w:style>
  <w:style w:type="character" w:styleId="EsempioHTML">
    <w:name w:val="HTML Sample"/>
    <w:basedOn w:val="Carpredefinitoparagrafo"/>
    <w:uiPriority w:val="98"/>
    <w:semiHidden/>
    <w:rsid w:val="00C51546"/>
    <w:rPr>
      <w:rFonts w:ascii="Consolas" w:hAnsi="Consolas" w:cs="Consolas"/>
      <w:sz w:val="24"/>
      <w:szCs w:val="24"/>
    </w:rPr>
  </w:style>
  <w:style w:type="character" w:styleId="MacchinadascrivereHTML">
    <w:name w:val="HTML Typewriter"/>
    <w:basedOn w:val="Carpredefinitoparagrafo"/>
    <w:uiPriority w:val="98"/>
    <w:semiHidden/>
    <w:rsid w:val="00C51546"/>
    <w:rPr>
      <w:rFonts w:ascii="Consolas" w:hAnsi="Consolas" w:cs="Consolas"/>
      <w:sz w:val="20"/>
      <w:szCs w:val="20"/>
    </w:rPr>
  </w:style>
  <w:style w:type="character" w:styleId="VariabileHTML">
    <w:name w:val="HTML Variable"/>
    <w:basedOn w:val="Carpredefinitoparagrafo"/>
    <w:uiPriority w:val="98"/>
    <w:semiHidden/>
    <w:rsid w:val="00C51546"/>
    <w:rPr>
      <w:i/>
      <w:iCs/>
    </w:rPr>
  </w:style>
  <w:style w:type="character" w:styleId="Collegamentoipertestuale">
    <w:name w:val="Hyperlink"/>
    <w:basedOn w:val="Carpredefinitoparagrafo"/>
    <w:uiPriority w:val="98"/>
    <w:semiHidden/>
    <w:rsid w:val="00C51546"/>
    <w:rPr>
      <w:color w:val="0072BC" w:themeColor="hyperlink"/>
      <w:u w:val="single"/>
    </w:rPr>
  </w:style>
  <w:style w:type="paragraph" w:styleId="Indice1">
    <w:name w:val="index 1"/>
    <w:basedOn w:val="Normale"/>
    <w:next w:val="Normale"/>
    <w:autoRedefine/>
    <w:uiPriority w:val="98"/>
    <w:semiHidden/>
    <w:rsid w:val="00C51546"/>
    <w:pPr>
      <w:ind w:left="240" w:hanging="240"/>
    </w:pPr>
  </w:style>
  <w:style w:type="paragraph" w:styleId="Indice2">
    <w:name w:val="index 2"/>
    <w:basedOn w:val="Normale"/>
    <w:next w:val="Normale"/>
    <w:autoRedefine/>
    <w:uiPriority w:val="98"/>
    <w:semiHidden/>
    <w:rsid w:val="00C51546"/>
    <w:pPr>
      <w:ind w:left="480" w:hanging="240"/>
    </w:pPr>
  </w:style>
  <w:style w:type="paragraph" w:styleId="Indice3">
    <w:name w:val="index 3"/>
    <w:basedOn w:val="Normale"/>
    <w:next w:val="Normale"/>
    <w:autoRedefine/>
    <w:uiPriority w:val="98"/>
    <w:semiHidden/>
    <w:rsid w:val="00C51546"/>
    <w:pPr>
      <w:ind w:left="720" w:hanging="240"/>
    </w:pPr>
  </w:style>
  <w:style w:type="paragraph" w:styleId="Indice4">
    <w:name w:val="index 4"/>
    <w:basedOn w:val="Normale"/>
    <w:next w:val="Normale"/>
    <w:autoRedefine/>
    <w:uiPriority w:val="98"/>
    <w:semiHidden/>
    <w:rsid w:val="00C51546"/>
    <w:pPr>
      <w:ind w:left="960" w:hanging="240"/>
    </w:pPr>
  </w:style>
  <w:style w:type="paragraph" w:styleId="Indice5">
    <w:name w:val="index 5"/>
    <w:basedOn w:val="Normale"/>
    <w:next w:val="Normale"/>
    <w:autoRedefine/>
    <w:uiPriority w:val="98"/>
    <w:semiHidden/>
    <w:rsid w:val="00C51546"/>
    <w:pPr>
      <w:ind w:left="1200" w:hanging="240"/>
    </w:pPr>
  </w:style>
  <w:style w:type="paragraph" w:styleId="Indice6">
    <w:name w:val="index 6"/>
    <w:basedOn w:val="Normale"/>
    <w:next w:val="Normale"/>
    <w:autoRedefine/>
    <w:uiPriority w:val="98"/>
    <w:semiHidden/>
    <w:rsid w:val="00C51546"/>
    <w:pPr>
      <w:ind w:left="1440" w:hanging="240"/>
    </w:pPr>
  </w:style>
  <w:style w:type="paragraph" w:styleId="Indice7">
    <w:name w:val="index 7"/>
    <w:basedOn w:val="Normale"/>
    <w:next w:val="Normale"/>
    <w:autoRedefine/>
    <w:uiPriority w:val="98"/>
    <w:semiHidden/>
    <w:rsid w:val="00C51546"/>
    <w:pPr>
      <w:ind w:left="1680" w:hanging="240"/>
    </w:pPr>
  </w:style>
  <w:style w:type="paragraph" w:styleId="Indice8">
    <w:name w:val="index 8"/>
    <w:basedOn w:val="Normale"/>
    <w:next w:val="Normale"/>
    <w:autoRedefine/>
    <w:uiPriority w:val="98"/>
    <w:semiHidden/>
    <w:rsid w:val="00C51546"/>
    <w:pPr>
      <w:ind w:left="1920" w:hanging="240"/>
    </w:pPr>
  </w:style>
  <w:style w:type="paragraph" w:styleId="Indice9">
    <w:name w:val="index 9"/>
    <w:basedOn w:val="Normale"/>
    <w:next w:val="Normale"/>
    <w:autoRedefine/>
    <w:uiPriority w:val="98"/>
    <w:semiHidden/>
    <w:rsid w:val="00C51546"/>
    <w:pPr>
      <w:ind w:left="2160" w:hanging="240"/>
    </w:pPr>
  </w:style>
  <w:style w:type="paragraph" w:styleId="Titoloindice">
    <w:name w:val="index heading"/>
    <w:basedOn w:val="Normale"/>
    <w:next w:val="Indice1"/>
    <w:uiPriority w:val="98"/>
    <w:semiHidden/>
    <w:rsid w:val="00C51546"/>
    <w:rPr>
      <w:rFonts w:asciiTheme="majorHAnsi" w:eastAsiaTheme="majorEastAsia" w:hAnsiTheme="majorHAnsi" w:cstheme="majorBidi"/>
      <w:b/>
      <w:bCs/>
    </w:rPr>
  </w:style>
  <w:style w:type="table" w:styleId="Grigliachiara">
    <w:name w:val="Light Grid"/>
    <w:basedOn w:val="Tabellanormale"/>
    <w:uiPriority w:val="62"/>
    <w:semiHidden/>
    <w:rsid w:val="00C5154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C5154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C5154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C5154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C5154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C5154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C5154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C5154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C5154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C5154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C5154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C5154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C5154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C5154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C51546"/>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C51546"/>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C51546"/>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C51546"/>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C51546"/>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C51546"/>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C51546"/>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C51546"/>
  </w:style>
  <w:style w:type="paragraph" w:styleId="Elenco">
    <w:name w:val="List"/>
    <w:basedOn w:val="Normale"/>
    <w:uiPriority w:val="98"/>
    <w:semiHidden/>
    <w:rsid w:val="00C51546"/>
    <w:pPr>
      <w:ind w:left="283" w:hanging="283"/>
      <w:contextualSpacing/>
    </w:pPr>
  </w:style>
  <w:style w:type="paragraph" w:styleId="Elenco2">
    <w:name w:val="List 2"/>
    <w:basedOn w:val="Normale"/>
    <w:uiPriority w:val="98"/>
    <w:semiHidden/>
    <w:rsid w:val="00C51546"/>
    <w:pPr>
      <w:ind w:left="566" w:hanging="283"/>
      <w:contextualSpacing/>
    </w:pPr>
  </w:style>
  <w:style w:type="paragraph" w:styleId="Elenco3">
    <w:name w:val="List 3"/>
    <w:basedOn w:val="Normale"/>
    <w:uiPriority w:val="98"/>
    <w:semiHidden/>
    <w:rsid w:val="00C51546"/>
    <w:pPr>
      <w:ind w:left="849" w:hanging="283"/>
      <w:contextualSpacing/>
    </w:pPr>
  </w:style>
  <w:style w:type="paragraph" w:styleId="Elenco4">
    <w:name w:val="List 4"/>
    <w:basedOn w:val="Normale"/>
    <w:uiPriority w:val="98"/>
    <w:semiHidden/>
    <w:rsid w:val="00C51546"/>
    <w:pPr>
      <w:ind w:left="1132" w:hanging="283"/>
      <w:contextualSpacing/>
    </w:pPr>
  </w:style>
  <w:style w:type="paragraph" w:styleId="Elenco5">
    <w:name w:val="List 5"/>
    <w:basedOn w:val="Normale"/>
    <w:uiPriority w:val="98"/>
    <w:semiHidden/>
    <w:rsid w:val="00C51546"/>
    <w:pPr>
      <w:ind w:left="1415" w:hanging="283"/>
      <w:contextualSpacing/>
    </w:pPr>
  </w:style>
  <w:style w:type="paragraph" w:styleId="Puntoelenco">
    <w:name w:val="List Bullet"/>
    <w:basedOn w:val="Normale"/>
    <w:uiPriority w:val="98"/>
    <w:semiHidden/>
    <w:rsid w:val="00C51546"/>
    <w:pPr>
      <w:numPr>
        <w:numId w:val="8"/>
      </w:numPr>
    </w:pPr>
  </w:style>
  <w:style w:type="paragraph" w:styleId="Puntoelenco2">
    <w:name w:val="List Bullet 2"/>
    <w:basedOn w:val="Normale"/>
    <w:uiPriority w:val="98"/>
    <w:semiHidden/>
    <w:rsid w:val="00C51546"/>
    <w:pPr>
      <w:numPr>
        <w:numId w:val="9"/>
      </w:numPr>
      <w:contextualSpacing/>
    </w:pPr>
  </w:style>
  <w:style w:type="paragraph" w:styleId="Puntoelenco3">
    <w:name w:val="List Bullet 3"/>
    <w:basedOn w:val="Normale"/>
    <w:uiPriority w:val="98"/>
    <w:semiHidden/>
    <w:rsid w:val="00C51546"/>
    <w:pPr>
      <w:numPr>
        <w:numId w:val="10"/>
      </w:numPr>
      <w:contextualSpacing/>
    </w:pPr>
  </w:style>
  <w:style w:type="paragraph" w:styleId="Puntoelenco4">
    <w:name w:val="List Bullet 4"/>
    <w:basedOn w:val="Normale"/>
    <w:uiPriority w:val="98"/>
    <w:semiHidden/>
    <w:rsid w:val="00C51546"/>
    <w:pPr>
      <w:numPr>
        <w:numId w:val="11"/>
      </w:numPr>
      <w:contextualSpacing/>
    </w:pPr>
  </w:style>
  <w:style w:type="paragraph" w:styleId="Puntoelenco5">
    <w:name w:val="List Bullet 5"/>
    <w:basedOn w:val="Normale"/>
    <w:uiPriority w:val="98"/>
    <w:semiHidden/>
    <w:rsid w:val="00C51546"/>
    <w:pPr>
      <w:numPr>
        <w:numId w:val="12"/>
      </w:numPr>
      <w:contextualSpacing/>
    </w:pPr>
  </w:style>
  <w:style w:type="paragraph" w:styleId="Elencocontinua">
    <w:name w:val="List Continue"/>
    <w:basedOn w:val="Normale"/>
    <w:uiPriority w:val="98"/>
    <w:semiHidden/>
    <w:rsid w:val="00C51546"/>
    <w:pPr>
      <w:spacing w:after="120"/>
      <w:ind w:left="283"/>
      <w:contextualSpacing/>
    </w:pPr>
  </w:style>
  <w:style w:type="paragraph" w:styleId="Elencocontinua2">
    <w:name w:val="List Continue 2"/>
    <w:basedOn w:val="Normale"/>
    <w:uiPriority w:val="98"/>
    <w:semiHidden/>
    <w:rsid w:val="00C51546"/>
    <w:pPr>
      <w:spacing w:after="120"/>
      <w:ind w:left="566"/>
      <w:contextualSpacing/>
    </w:pPr>
  </w:style>
  <w:style w:type="paragraph" w:styleId="Elencocontinua3">
    <w:name w:val="List Continue 3"/>
    <w:basedOn w:val="Normale"/>
    <w:uiPriority w:val="98"/>
    <w:semiHidden/>
    <w:rsid w:val="00C51546"/>
    <w:pPr>
      <w:spacing w:after="120"/>
      <w:ind w:left="849"/>
      <w:contextualSpacing/>
    </w:pPr>
  </w:style>
  <w:style w:type="paragraph" w:styleId="Elencocontinua4">
    <w:name w:val="List Continue 4"/>
    <w:basedOn w:val="Normale"/>
    <w:uiPriority w:val="98"/>
    <w:semiHidden/>
    <w:rsid w:val="00C51546"/>
    <w:pPr>
      <w:spacing w:after="120"/>
      <w:ind w:left="1132"/>
      <w:contextualSpacing/>
    </w:pPr>
  </w:style>
  <w:style w:type="paragraph" w:styleId="Elencocontinua5">
    <w:name w:val="List Continue 5"/>
    <w:basedOn w:val="Normale"/>
    <w:uiPriority w:val="98"/>
    <w:semiHidden/>
    <w:rsid w:val="00C51546"/>
    <w:pPr>
      <w:spacing w:after="120"/>
      <w:ind w:left="1415"/>
      <w:contextualSpacing/>
    </w:pPr>
  </w:style>
  <w:style w:type="paragraph" w:styleId="Numeroelenco">
    <w:name w:val="List Number"/>
    <w:basedOn w:val="Normale"/>
    <w:uiPriority w:val="98"/>
    <w:semiHidden/>
    <w:rsid w:val="00C51546"/>
    <w:pPr>
      <w:numPr>
        <w:numId w:val="13"/>
      </w:numPr>
      <w:contextualSpacing/>
    </w:pPr>
  </w:style>
  <w:style w:type="paragraph" w:styleId="Numeroelenco2">
    <w:name w:val="List Number 2"/>
    <w:basedOn w:val="Normale"/>
    <w:uiPriority w:val="98"/>
    <w:semiHidden/>
    <w:rsid w:val="00C51546"/>
    <w:pPr>
      <w:numPr>
        <w:numId w:val="14"/>
      </w:numPr>
      <w:contextualSpacing/>
    </w:pPr>
  </w:style>
  <w:style w:type="paragraph" w:styleId="Numeroelenco3">
    <w:name w:val="List Number 3"/>
    <w:basedOn w:val="Normale"/>
    <w:uiPriority w:val="98"/>
    <w:semiHidden/>
    <w:rsid w:val="00C51546"/>
    <w:pPr>
      <w:numPr>
        <w:numId w:val="15"/>
      </w:numPr>
      <w:contextualSpacing/>
    </w:pPr>
  </w:style>
  <w:style w:type="paragraph" w:styleId="Numeroelenco4">
    <w:name w:val="List Number 4"/>
    <w:basedOn w:val="Normale"/>
    <w:uiPriority w:val="98"/>
    <w:semiHidden/>
    <w:rsid w:val="00C51546"/>
    <w:pPr>
      <w:numPr>
        <w:numId w:val="16"/>
      </w:numPr>
      <w:contextualSpacing/>
    </w:pPr>
  </w:style>
  <w:style w:type="paragraph" w:styleId="Numeroelenco5">
    <w:name w:val="List Number 5"/>
    <w:basedOn w:val="Normale"/>
    <w:uiPriority w:val="98"/>
    <w:semiHidden/>
    <w:rsid w:val="00C51546"/>
    <w:pPr>
      <w:numPr>
        <w:numId w:val="17"/>
      </w:numPr>
      <w:contextualSpacing/>
    </w:pPr>
  </w:style>
  <w:style w:type="paragraph" w:styleId="Testomacro">
    <w:name w:val="macro"/>
    <w:link w:val="TestomacroCarattere"/>
    <w:uiPriority w:val="98"/>
    <w:semiHidden/>
    <w:rsid w:val="00C5154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C51546"/>
    <w:rPr>
      <w:rFonts w:ascii="Consolas" w:eastAsiaTheme="minorEastAsia" w:hAnsi="Consolas" w:cs="Consolas"/>
      <w:sz w:val="20"/>
      <w:szCs w:val="20"/>
    </w:rPr>
  </w:style>
  <w:style w:type="table" w:styleId="Grigliamedia1">
    <w:name w:val="Medium Grid 1"/>
    <w:basedOn w:val="Tabellanormale"/>
    <w:uiPriority w:val="67"/>
    <w:semiHidden/>
    <w:rsid w:val="00C5154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C5154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C5154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C5154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C5154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C5154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C5154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C5154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C5154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C5154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C5154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C5154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C5154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C5154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C5154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C5154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C5154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C5154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C5154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C5154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C5154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C51546"/>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C51546"/>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C51546"/>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C51546"/>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C51546"/>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C51546"/>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C51546"/>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C5154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C5154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C5154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C5154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C5154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C5154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C5154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C5154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C5154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C5154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C5154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C5154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C5154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C5154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C5154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C5154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C5154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C5154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C5154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C5154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C5154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C5154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C51546"/>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C51546"/>
    <w:rPr>
      <w:rFonts w:ascii="Times New Roman" w:hAnsi="Times New Roman" w:cs="Times New Roman"/>
    </w:rPr>
  </w:style>
  <w:style w:type="paragraph" w:styleId="Rientronormale">
    <w:name w:val="Normal Indent"/>
    <w:basedOn w:val="Normale"/>
    <w:uiPriority w:val="98"/>
    <w:semiHidden/>
    <w:rsid w:val="00C51546"/>
    <w:pPr>
      <w:ind w:left="720"/>
    </w:pPr>
  </w:style>
  <w:style w:type="table" w:customStyle="1" w:styleId="ECHRTableNoLines">
    <w:name w:val="ECHR_Table_No_Lines"/>
    <w:basedOn w:val="Tabellanormale"/>
    <w:uiPriority w:val="99"/>
    <w:rsid w:val="00C51546"/>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C51546"/>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C51546"/>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C51546"/>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C51546"/>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C51546"/>
  </w:style>
  <w:style w:type="character" w:customStyle="1" w:styleId="FormuladiaperturaCarattere">
    <w:name w:val="Formula di apertura Carattere"/>
    <w:basedOn w:val="Carpredefinitoparagrafo"/>
    <w:link w:val="Formuladiapertura"/>
    <w:uiPriority w:val="98"/>
    <w:semiHidden/>
    <w:rsid w:val="00C51546"/>
    <w:rPr>
      <w:sz w:val="24"/>
      <w:szCs w:val="24"/>
      <w:lang w:val="en-GB"/>
    </w:rPr>
  </w:style>
  <w:style w:type="paragraph" w:styleId="Firma">
    <w:name w:val="Signature"/>
    <w:basedOn w:val="Normale"/>
    <w:link w:val="FirmaCarattere"/>
    <w:uiPriority w:val="98"/>
    <w:semiHidden/>
    <w:rsid w:val="00C51546"/>
    <w:pPr>
      <w:ind w:left="4252"/>
    </w:pPr>
  </w:style>
  <w:style w:type="character" w:customStyle="1" w:styleId="FirmaCarattere">
    <w:name w:val="Firma Carattere"/>
    <w:basedOn w:val="Carpredefinitoparagrafo"/>
    <w:link w:val="Firma"/>
    <w:uiPriority w:val="98"/>
    <w:semiHidden/>
    <w:rsid w:val="00C51546"/>
    <w:rPr>
      <w:sz w:val="24"/>
      <w:szCs w:val="24"/>
      <w:lang w:val="en-GB"/>
    </w:rPr>
  </w:style>
  <w:style w:type="table" w:styleId="Tabellaeffetti3D1">
    <w:name w:val="Table 3D effects 1"/>
    <w:basedOn w:val="Tabellanormale"/>
    <w:uiPriority w:val="99"/>
    <w:semiHidden/>
    <w:unhideWhenUsed/>
    <w:rsid w:val="00C51546"/>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C51546"/>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C51546"/>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C51546"/>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C51546"/>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C51546"/>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C51546"/>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C51546"/>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C51546"/>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C51546"/>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C51546"/>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C51546"/>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C51546"/>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C51546"/>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C51546"/>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C51546"/>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C51546"/>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C5154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C5154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C51546"/>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C51546"/>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C51546"/>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C5154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C51546"/>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C51546"/>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C51546"/>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C51546"/>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C51546"/>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C51546"/>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C5154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C5154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C5154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C51546"/>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C5154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C51546"/>
    <w:pPr>
      <w:ind w:left="240" w:hanging="240"/>
    </w:pPr>
  </w:style>
  <w:style w:type="paragraph" w:styleId="Indicedellefigure">
    <w:name w:val="table of figures"/>
    <w:basedOn w:val="Normale"/>
    <w:next w:val="Normale"/>
    <w:uiPriority w:val="98"/>
    <w:semiHidden/>
    <w:rsid w:val="00C51546"/>
  </w:style>
  <w:style w:type="table" w:styleId="Tabellaprofessionale">
    <w:name w:val="Table Professional"/>
    <w:basedOn w:val="Tabellanormale"/>
    <w:uiPriority w:val="99"/>
    <w:semiHidden/>
    <w:unhideWhenUsed/>
    <w:rsid w:val="00C5154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C51546"/>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C51546"/>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C51546"/>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C51546"/>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C51546"/>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C51546"/>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C51546"/>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C51546"/>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C51546"/>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C51546"/>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C51546"/>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C51546"/>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C51546"/>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C51546"/>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C51546"/>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C51546"/>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C51546"/>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C51546"/>
    <w:pPr>
      <w:spacing w:after="100"/>
      <w:ind w:left="1680"/>
    </w:pPr>
  </w:style>
  <w:style w:type="paragraph" w:styleId="Sommario9">
    <w:name w:val="toc 9"/>
    <w:basedOn w:val="Normale"/>
    <w:next w:val="Normale"/>
    <w:autoRedefine/>
    <w:uiPriority w:val="98"/>
    <w:semiHidden/>
    <w:rsid w:val="00C51546"/>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C51546"/>
    <w:pPr>
      <w:tabs>
        <w:tab w:val="center" w:pos="3686"/>
        <w:tab w:val="right" w:pos="7371"/>
      </w:tabs>
    </w:pPr>
  </w:style>
  <w:style w:type="character" w:customStyle="1" w:styleId="PidipaginaCarattere">
    <w:name w:val="Piè di pagina Carattere"/>
    <w:basedOn w:val="Carpredefinitoparagrafo"/>
    <w:link w:val="Pidipagina"/>
    <w:uiPriority w:val="98"/>
    <w:semiHidden/>
    <w:rsid w:val="00C51546"/>
    <w:rPr>
      <w:sz w:val="24"/>
      <w:szCs w:val="24"/>
      <w:lang w:val="en-GB"/>
    </w:rPr>
  </w:style>
  <w:style w:type="paragraph" w:customStyle="1" w:styleId="ECHRFooterLine">
    <w:name w:val="ECHR_Footer_Line"/>
    <w:aliases w:val="_Footer_Line"/>
    <w:basedOn w:val="Normale"/>
    <w:next w:val="Normale"/>
    <w:uiPriority w:val="30"/>
    <w:semiHidden/>
    <w:rsid w:val="00C51546"/>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C51546"/>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e"/>
    <w:next w:val="JuPara"/>
    <w:uiPriority w:val="32"/>
    <w:rsid w:val="00C51546"/>
    <w:pPr>
      <w:ind w:firstLine="284"/>
      <w:jc w:val="both"/>
    </w:pPr>
    <w:rPr>
      <w:b/>
    </w:rPr>
  </w:style>
  <w:style w:type="paragraph" w:styleId="Intestazionenota">
    <w:name w:val="Note Heading"/>
    <w:basedOn w:val="Normale"/>
    <w:next w:val="Normale"/>
    <w:link w:val="IntestazionenotaCarattere"/>
    <w:uiPriority w:val="98"/>
    <w:semiHidden/>
    <w:rsid w:val="00C51546"/>
  </w:style>
  <w:style w:type="character" w:customStyle="1" w:styleId="IntestazionenotaCarattere">
    <w:name w:val="Intestazione nota Carattere"/>
    <w:basedOn w:val="Carpredefinitoparagrafo"/>
    <w:link w:val="Intestazionenota"/>
    <w:uiPriority w:val="98"/>
    <w:semiHidden/>
    <w:rsid w:val="00C51546"/>
    <w:rPr>
      <w:sz w:val="24"/>
      <w:szCs w:val="24"/>
      <w:lang w:val="en-GB"/>
    </w:rPr>
  </w:style>
  <w:style w:type="paragraph" w:customStyle="1" w:styleId="ECHRHeaderLandscape">
    <w:name w:val="ECHR_Header_Landscape"/>
    <w:aliases w:val="_Header_Landscape"/>
    <w:basedOn w:val="JuHeader"/>
    <w:uiPriority w:val="29"/>
    <w:semiHidden/>
    <w:rsid w:val="00C51546"/>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C51546"/>
    <w:pPr>
      <w:numPr>
        <w:numId w:val="5"/>
      </w:numPr>
      <w:spacing w:before="60" w:after="60"/>
    </w:pPr>
  </w:style>
  <w:style w:type="paragraph" w:customStyle="1" w:styleId="ECHRBullet2">
    <w:name w:val="ECHR_Bullet_2"/>
    <w:aliases w:val="_Bul_2"/>
    <w:basedOn w:val="ECHRBullet1"/>
    <w:uiPriority w:val="23"/>
    <w:semiHidden/>
    <w:rsid w:val="00C51546"/>
    <w:pPr>
      <w:numPr>
        <w:ilvl w:val="1"/>
      </w:numPr>
    </w:pPr>
  </w:style>
  <w:style w:type="paragraph" w:customStyle="1" w:styleId="ECHRBullet3">
    <w:name w:val="ECHR_Bullet_3"/>
    <w:aliases w:val="_Bul_3"/>
    <w:basedOn w:val="ECHRBullet2"/>
    <w:uiPriority w:val="23"/>
    <w:semiHidden/>
    <w:rsid w:val="00C51546"/>
    <w:pPr>
      <w:numPr>
        <w:ilvl w:val="2"/>
      </w:numPr>
    </w:pPr>
  </w:style>
  <w:style w:type="paragraph" w:customStyle="1" w:styleId="ECHRBullet4">
    <w:name w:val="ECHR_Bullet_4"/>
    <w:aliases w:val="_Bul_4"/>
    <w:basedOn w:val="ECHRBullet3"/>
    <w:uiPriority w:val="23"/>
    <w:semiHidden/>
    <w:rsid w:val="00C51546"/>
    <w:pPr>
      <w:numPr>
        <w:ilvl w:val="3"/>
      </w:numPr>
    </w:pPr>
  </w:style>
  <w:style w:type="paragraph" w:customStyle="1" w:styleId="ECHRConfidential">
    <w:name w:val="ECHR_Confidential"/>
    <w:aliases w:val="_Confidential"/>
    <w:basedOn w:val="Normale"/>
    <w:next w:val="Normale"/>
    <w:uiPriority w:val="42"/>
    <w:semiHidden/>
    <w:qFormat/>
    <w:rsid w:val="00C51546"/>
    <w:pPr>
      <w:jc w:val="right"/>
    </w:pPr>
    <w:rPr>
      <w:color w:val="C00000"/>
      <w:sz w:val="20"/>
    </w:rPr>
  </w:style>
  <w:style w:type="paragraph" w:customStyle="1" w:styleId="ECHRDecisionBody">
    <w:name w:val="ECHR_Decision_Body"/>
    <w:aliases w:val="_Decision_Body"/>
    <w:basedOn w:val="NormalJustified"/>
    <w:uiPriority w:val="54"/>
    <w:semiHidden/>
    <w:rsid w:val="00C51546"/>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C51546"/>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C51546"/>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C51546"/>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C51546"/>
    <w:pPr>
      <w:jc w:val="right"/>
    </w:pPr>
    <w:rPr>
      <w:sz w:val="20"/>
    </w:rPr>
  </w:style>
  <w:style w:type="paragraph" w:customStyle="1" w:styleId="ECHRHeaderRefIt">
    <w:name w:val="ECHR_Header_Ref_It"/>
    <w:aliases w:val="_Ref_Ital"/>
    <w:basedOn w:val="Normale"/>
    <w:next w:val="ECHRHeaderDate"/>
    <w:uiPriority w:val="43"/>
    <w:semiHidden/>
    <w:qFormat/>
    <w:rsid w:val="00C51546"/>
    <w:pPr>
      <w:jc w:val="right"/>
    </w:pPr>
    <w:rPr>
      <w:i/>
      <w:sz w:val="20"/>
    </w:rPr>
  </w:style>
  <w:style w:type="paragraph" w:customStyle="1" w:styleId="ECHRHeading9">
    <w:name w:val="ECHR_Heading_9"/>
    <w:aliases w:val="_Head_9"/>
    <w:basedOn w:val="Titolo9"/>
    <w:uiPriority w:val="17"/>
    <w:semiHidden/>
    <w:rsid w:val="00C51546"/>
    <w:pPr>
      <w:keepNext/>
      <w:keepLines/>
      <w:numPr>
        <w:ilvl w:val="8"/>
        <w:numId w:val="1"/>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C51546"/>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C51546"/>
    <w:pPr>
      <w:numPr>
        <w:numId w:val="7"/>
      </w:numPr>
      <w:spacing w:before="60" w:after="60"/>
    </w:pPr>
  </w:style>
  <w:style w:type="paragraph" w:customStyle="1" w:styleId="ECHRNumberedList2">
    <w:name w:val="ECHR_Numbered_List_2"/>
    <w:aliases w:val="_Num_2"/>
    <w:basedOn w:val="ECHRNumberedList1"/>
    <w:uiPriority w:val="23"/>
    <w:semiHidden/>
    <w:rsid w:val="00C51546"/>
    <w:pPr>
      <w:numPr>
        <w:ilvl w:val="1"/>
      </w:numPr>
    </w:pPr>
  </w:style>
  <w:style w:type="paragraph" w:customStyle="1" w:styleId="ECHRNumberedList3">
    <w:name w:val="ECHR_Numbered_List_3"/>
    <w:aliases w:val="_Num_3"/>
    <w:basedOn w:val="ECHRNumberedList2"/>
    <w:uiPriority w:val="23"/>
    <w:semiHidden/>
    <w:rsid w:val="00C51546"/>
    <w:pPr>
      <w:numPr>
        <w:ilvl w:val="2"/>
      </w:numPr>
    </w:pPr>
  </w:style>
  <w:style w:type="paragraph" w:customStyle="1" w:styleId="ECHRParaHanging">
    <w:name w:val="ECHR_Para_Hanging"/>
    <w:aliases w:val="_Hanging"/>
    <w:basedOn w:val="Normale"/>
    <w:uiPriority w:val="8"/>
    <w:semiHidden/>
    <w:qFormat/>
    <w:rsid w:val="00C51546"/>
    <w:pPr>
      <w:ind w:left="567" w:hanging="567"/>
      <w:jc w:val="both"/>
    </w:pPr>
  </w:style>
  <w:style w:type="paragraph" w:customStyle="1" w:styleId="ECHRParaIndent">
    <w:name w:val="ECHR_Para_Indent"/>
    <w:aliases w:val="_Indent"/>
    <w:basedOn w:val="Normale"/>
    <w:uiPriority w:val="7"/>
    <w:semiHidden/>
    <w:qFormat/>
    <w:rsid w:val="00C51546"/>
    <w:pPr>
      <w:spacing w:before="120" w:after="120"/>
      <w:ind w:left="284"/>
      <w:jc w:val="both"/>
    </w:pPr>
  </w:style>
  <w:style w:type="character" w:customStyle="1" w:styleId="ECHRRed">
    <w:name w:val="ECHR_Red"/>
    <w:aliases w:val="_Red"/>
    <w:basedOn w:val="Carpredefinitoparagrafo"/>
    <w:uiPriority w:val="15"/>
    <w:semiHidden/>
    <w:qFormat/>
    <w:rsid w:val="00C51546"/>
    <w:rPr>
      <w:color w:val="C00000" w:themeColor="accent2"/>
    </w:rPr>
  </w:style>
  <w:style w:type="paragraph" w:customStyle="1" w:styleId="DecList">
    <w:name w:val="Dec_List"/>
    <w:aliases w:val="_List"/>
    <w:basedOn w:val="JuList"/>
    <w:uiPriority w:val="22"/>
    <w:rsid w:val="00C51546"/>
    <w:pPr>
      <w:numPr>
        <w:numId w:val="0"/>
      </w:numPr>
      <w:ind w:left="284"/>
    </w:pPr>
  </w:style>
  <w:style w:type="table" w:customStyle="1" w:styleId="ECHRTable">
    <w:name w:val="ECHR_Table"/>
    <w:basedOn w:val="Tabellanormale"/>
    <w:rsid w:val="00C51546"/>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C51546"/>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C5154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C51546"/>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C51546"/>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C51546"/>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C51546"/>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C51546"/>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C51546"/>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C51546"/>
    <w:pPr>
      <w:outlineLvl w:val="0"/>
    </w:pPr>
  </w:style>
  <w:style w:type="paragraph" w:customStyle="1" w:styleId="ECHRTitleTOC1">
    <w:name w:val="ECHR_Title_TOC_1"/>
    <w:aliases w:val="_Title_L_TOC"/>
    <w:basedOn w:val="ECHRTitle1"/>
    <w:next w:val="Normale"/>
    <w:uiPriority w:val="27"/>
    <w:semiHidden/>
    <w:qFormat/>
    <w:rsid w:val="00C51546"/>
    <w:pPr>
      <w:outlineLvl w:val="0"/>
    </w:pPr>
  </w:style>
  <w:style w:type="table" w:customStyle="1" w:styleId="LtrTableAddress">
    <w:name w:val="Ltr_Table_Address"/>
    <w:aliases w:val="ECHR_Ltr_Table_Address"/>
    <w:basedOn w:val="Tabellanormale"/>
    <w:uiPriority w:val="99"/>
    <w:rsid w:val="00C51546"/>
    <w:rPr>
      <w:sz w:val="24"/>
      <w:szCs w:val="24"/>
    </w:rPr>
    <w:tblPr>
      <w:tblInd w:w="5103" w:type="dxa"/>
    </w:tblPr>
  </w:style>
  <w:style w:type="table" w:customStyle="1" w:styleId="PCFTableStyle">
    <w:name w:val="PCF_Table_Style"/>
    <w:aliases w:val="ECHR_PCF_Table_Style"/>
    <w:basedOn w:val="Tabellanormale"/>
    <w:uiPriority w:val="99"/>
    <w:rsid w:val="00C51546"/>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C51546"/>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C51546"/>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C51546"/>
    <w:rPr>
      <w:color w:val="FFFFFF"/>
    </w:rPr>
  </w:style>
  <w:style w:type="paragraph" w:customStyle="1" w:styleId="ECHRSpacer">
    <w:name w:val="ECHR_Spacer"/>
    <w:aliases w:val="_Spacer"/>
    <w:basedOn w:val="Normale"/>
    <w:uiPriority w:val="45"/>
    <w:semiHidden/>
    <w:rsid w:val="00C51546"/>
    <w:rPr>
      <w:sz w:val="4"/>
    </w:rPr>
  </w:style>
  <w:style w:type="table" w:customStyle="1" w:styleId="ECHRTableGrey">
    <w:name w:val="ECHR_Table_Grey"/>
    <w:basedOn w:val="Tabellanormale"/>
    <w:uiPriority w:val="99"/>
    <w:rsid w:val="00C51546"/>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C51546"/>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JuParaChar">
    <w:name w:val="Ju_Para Char"/>
    <w:aliases w:val="_Para Char"/>
    <w:link w:val="JuPara"/>
    <w:uiPriority w:val="4"/>
    <w:rsid w:val="005F7F2C"/>
    <w:rPr>
      <w:sz w:val="24"/>
      <w:szCs w:val="24"/>
      <w:lang w:val="en-GB"/>
    </w:rPr>
  </w:style>
  <w:style w:type="table" w:styleId="Tabellagriglia1chiara">
    <w:name w:val="Grid Table 1 Light"/>
    <w:basedOn w:val="Tabellanormale"/>
    <w:uiPriority w:val="46"/>
    <w:semiHidden/>
    <w:rsid w:val="00C515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C51546"/>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C51546"/>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C51546"/>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C51546"/>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C51546"/>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C51546"/>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C5154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C51546"/>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C51546"/>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C51546"/>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C51546"/>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C51546"/>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C51546"/>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C515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C5154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C5154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C5154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C5154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C5154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C5154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C515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C5154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C5154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C5154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C5154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C5154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C5154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C5154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C5154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C5154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C5154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C5154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C5154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C5154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C51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C5154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C5154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C5154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C5154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C5154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C5154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C51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C5154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C5154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C5154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C5154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C5154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C5154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C51546"/>
    <w:rPr>
      <w:color w:val="2B579A"/>
      <w:shd w:val="clear" w:color="auto" w:fill="E1DFDD"/>
    </w:rPr>
  </w:style>
  <w:style w:type="table" w:styleId="Tabellaelenco1chiara">
    <w:name w:val="List Table 1 Light"/>
    <w:basedOn w:val="Tabellanormale"/>
    <w:uiPriority w:val="46"/>
    <w:semiHidden/>
    <w:rsid w:val="00C5154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C51546"/>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C51546"/>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C51546"/>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C51546"/>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C51546"/>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C51546"/>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C5154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C51546"/>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C51546"/>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C51546"/>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C51546"/>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C51546"/>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C51546"/>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C5154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C51546"/>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C51546"/>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C51546"/>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C51546"/>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C51546"/>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C51546"/>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C515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C5154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C5154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C5154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C5154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C5154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C5154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C51546"/>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C51546"/>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C51546"/>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C51546"/>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C51546"/>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C51546"/>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C51546"/>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C5154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C51546"/>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C51546"/>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C51546"/>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C51546"/>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C51546"/>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C51546"/>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C5154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C51546"/>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C51546"/>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C51546"/>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C51546"/>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C51546"/>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C51546"/>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C51546"/>
    <w:rPr>
      <w:color w:val="2B579A"/>
      <w:shd w:val="clear" w:color="auto" w:fill="E1DFDD"/>
    </w:rPr>
  </w:style>
  <w:style w:type="table" w:styleId="Tabellasemplice-1">
    <w:name w:val="Plain Table 1"/>
    <w:basedOn w:val="Tabellanormale"/>
    <w:uiPriority w:val="41"/>
    <w:semiHidden/>
    <w:rsid w:val="00C51546"/>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C5154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C5154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C5154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C5154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C51546"/>
    <w:rPr>
      <w:u w:val="dotted"/>
    </w:rPr>
  </w:style>
  <w:style w:type="character" w:customStyle="1" w:styleId="SmartLink">
    <w:name w:val="Smart Link"/>
    <w:basedOn w:val="Carpredefinitoparagrafo"/>
    <w:uiPriority w:val="99"/>
    <w:semiHidden/>
    <w:unhideWhenUsed/>
    <w:rsid w:val="00C51546"/>
    <w:rPr>
      <w:color w:val="0000FF"/>
      <w:u w:val="single"/>
      <w:shd w:val="clear" w:color="auto" w:fill="F3F2F1"/>
    </w:rPr>
  </w:style>
  <w:style w:type="table" w:styleId="Grigliatabellachiara">
    <w:name w:val="Grid Table Light"/>
    <w:basedOn w:val="Tabellanormale"/>
    <w:uiPriority w:val="40"/>
    <w:semiHidden/>
    <w:rsid w:val="00C51546"/>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C51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03ACD-50F5-4F1B-864F-06F4F575AB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F90D99-0AA8-4BA7-BCB8-0BFC18F49B7E}">
  <ds:schemaRefs>
    <ds:schemaRef ds:uri="http://schemas.microsoft.com/sharepoint/v3/contenttype/forms"/>
  </ds:schemaRefs>
</ds:datastoreItem>
</file>

<file path=customXml/itemProps3.xml><?xml version="1.0" encoding="utf-8"?>
<ds:datastoreItem xmlns:ds="http://schemas.openxmlformats.org/officeDocument/2006/customXml" ds:itemID="{C99D9005-034F-4A8D-8DE8-EF9573F40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786CBF-8762-4FC6-8B65-9F922615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2274</Words>
  <Characters>12968</Characters>
  <Application>Microsoft Office Word</Application>
  <DocSecurity>0</DocSecurity>
  <Lines>108</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2021-12-07T12:08:00Z</dcterms:created>
  <dcterms:modified xsi:type="dcterms:W3CDTF">2021-12-07T12:08:00Z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18773/13</vt:lpwstr>
  </property>
  <property fmtid="{D5CDD505-2E9C-101B-9397-08002B2CF9AE}" pid="4" name="CASEID">
    <vt:lpwstr>869389</vt:lpwstr>
  </property>
  <property fmtid="{D5CDD505-2E9C-101B-9397-08002B2CF9AE}" pid="5" name="ContentTypeId">
    <vt:lpwstr>0x010100558EB02BDB9E204AB350EDD385B68E10</vt:lpwstr>
  </property>
</Properties>
</file>